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8D" w:rsidRPr="00E274C1" w:rsidRDefault="004A4A8D" w:rsidP="004A4A8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</w:t>
      </w:r>
      <w:r w:rsidR="000F71F3">
        <w:rPr>
          <w:rFonts w:ascii="Arial" w:eastAsia="Times New Roman" w:hAnsi="Arial" w:cs="Times New Roman"/>
          <w:b/>
          <w:sz w:val="24"/>
          <w:szCs w:val="24"/>
          <w:lang w:eastAsia="cs-CZ"/>
        </w:rPr>
        <w:t>8</w:t>
      </w:r>
    </w:p>
    <w:p w:rsidR="004A4A8D" w:rsidRPr="00C815D9" w:rsidRDefault="004A4A8D" w:rsidP="004A4A8D">
      <w:pPr>
        <w:spacing w:after="240" w:line="240" w:lineRule="auto"/>
        <w:contextualSpacing/>
        <w:jc w:val="center"/>
        <w:rPr>
          <w:rFonts w:ascii="Arial" w:eastAsia="Times New Roman" w:hAnsi="Arial" w:cs="Times New Roman"/>
          <w:b/>
          <w:color w:val="0070C0"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1644/2001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9. 2001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5711/2001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21. 12.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214/2003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28.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11. 2002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3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215/2003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11.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, dodatku č. 4 č. j.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7454/2003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20. 3.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2003, dodatku č. 5 č. j. KUOK/23189/05/O</w:t>
      </w:r>
      <w:bookmarkStart w:id="0" w:name="_GoBack"/>
      <w:bookmarkEnd w:id="0"/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ŠMT/572 ze dne 24. 6. 2005, dodatku č. 6 č. j. KUOK 123293/2007 ze dne 10. 12. 2007, dodatku č. 7 č. j. KUOK 66366/2008 ze dne 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25. 6. 2008, dodatku č. 8 č. j. KUOK 93616/2009 ze dne 25. 9. 2009, dodatku č. 9 č. j. KUOK 2242/2014 ze dne 19. 12. 2013, dodatku č. 10 č. j. KUOK 82474/2014 ze dne 19. 9. 2014, dodatku č. 11 č. j. KUOK 69003/2016 ze dne 24. 6. 2016, dodatku č. 12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121446/2016 ze dne 19. 12. 2016,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dodatku č. 13 č. j. KUOK 123190/2017 ze dne 18. 12. 2017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4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101900/2018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17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9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. 201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8 a dodatku č. 15 č. j. KUOK 67587/2019 ze dne 24. 6. 2019</w:t>
      </w:r>
      <w:r w:rsidR="000F71F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a </w:t>
      </w:r>
      <w:r w:rsidR="000F71F3" w:rsidRPr="00D12339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16 č. j. KUOK 121374/2019 ze dne 16. 12. 2019</w:t>
      </w:r>
      <w:r w:rsidR="000F71F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a dodatku č. 17 č. j. KUOK 22738/2022</w:t>
      </w:r>
      <w:r w:rsidR="00C815D9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="00C815D9" w:rsidRPr="00FB4DBA"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cs-CZ"/>
        </w:rPr>
        <w:t>ze dne 14. 2. 2022</w:t>
      </w:r>
    </w:p>
    <w:p w:rsidR="004A4A8D" w:rsidRPr="00E274C1" w:rsidRDefault="004A4A8D" w:rsidP="004A4A8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A4A8D" w:rsidRPr="00E274C1" w:rsidTr="00ED72F9">
        <w:trPr>
          <w:trHeight w:val="866"/>
        </w:trPr>
        <w:tc>
          <w:tcPr>
            <w:tcW w:w="9144" w:type="dxa"/>
            <w:shd w:val="clear" w:color="auto" w:fill="auto"/>
          </w:tcPr>
          <w:p w:rsidR="004A4A8D" w:rsidRPr="00E274C1" w:rsidRDefault="003A561E" w:rsidP="003A56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506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4A4A8D" w:rsidRPr="00E274C1" w:rsidRDefault="004A4A8D" w:rsidP="00C815D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4A4A8D" w:rsidRPr="00E274C1" w:rsidRDefault="004A4A8D" w:rsidP="00C815D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4A4A8D" w:rsidRPr="00E274C1" w:rsidTr="007776D6">
        <w:tc>
          <w:tcPr>
            <w:tcW w:w="2880" w:type="dxa"/>
          </w:tcPr>
          <w:p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Gymnázium Jana Blahoslava a Střední pedagogická škola, Přerov, Denisova 3</w:t>
            </w:r>
          </w:p>
        </w:tc>
      </w:tr>
      <w:tr w:rsidR="004A4A8D" w:rsidRPr="00E274C1" w:rsidTr="007776D6">
        <w:tc>
          <w:tcPr>
            <w:tcW w:w="2880" w:type="dxa"/>
          </w:tcPr>
          <w:p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:rsidR="004A4A8D" w:rsidRPr="00F804F1" w:rsidRDefault="00F804F1" w:rsidP="00C815D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804F1">
              <w:rPr>
                <w:rFonts w:ascii="Arial" w:hAnsi="Arial" w:cs="Arial"/>
                <w:b/>
                <w:sz w:val="24"/>
                <w:szCs w:val="24"/>
              </w:rPr>
              <w:t>750 02 Přerov, Přerov I-Město, Denisova 2390/3</w:t>
            </w:r>
          </w:p>
        </w:tc>
      </w:tr>
      <w:tr w:rsidR="004A4A8D" w:rsidRPr="00E274C1" w:rsidTr="00C815D9">
        <w:trPr>
          <w:trHeight w:val="583"/>
        </w:trPr>
        <w:tc>
          <w:tcPr>
            <w:tcW w:w="2880" w:type="dxa"/>
          </w:tcPr>
          <w:p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61985759</w:t>
            </w:r>
          </w:p>
        </w:tc>
      </w:tr>
    </w:tbl>
    <w:p w:rsidR="004A4A8D" w:rsidRDefault="004A4A8D" w:rsidP="00C815D9">
      <w:pPr>
        <w:spacing w:before="120" w:after="36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C815D9" w:rsidRPr="00FB4DBA" w:rsidRDefault="00C815D9" w:rsidP="00C815D9">
      <w:pPr>
        <w:spacing w:before="120" w:after="24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FB4DBA">
        <w:rPr>
          <w:rFonts w:ascii="Arial" w:hAnsi="Arial"/>
          <w:color w:val="000000" w:themeColor="text1"/>
          <w:sz w:val="24"/>
          <w:szCs w:val="24"/>
        </w:rPr>
        <w:t>Stávající Příloha č. 1 – Vymezení majetku v hospodaření příspěvkové organizace zřizovací listiny se ruší a nahrazuje se novou Přílohou č. 1 – Vymezení majetku v hospodaření příspěvkové organizace.</w:t>
      </w:r>
    </w:p>
    <w:p w:rsidR="00F804F1" w:rsidRPr="00F804F1" w:rsidRDefault="00F804F1" w:rsidP="00C815D9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F804F1">
        <w:rPr>
          <w:rFonts w:ascii="Arial" w:hAnsi="Arial" w:cs="Arial"/>
          <w:sz w:val="24"/>
          <w:szCs w:val="24"/>
        </w:rPr>
        <w:t>Stávající bod 3 článku VIII. zřizovací listiny, ve znění pozdějších dodatků, se ruší a nahrazuje se novým bodem 3 článku VIII. zřizovací listiny tohoto znění:</w:t>
      </w:r>
    </w:p>
    <w:p w:rsidR="00F804F1" w:rsidRPr="00F804F1" w:rsidRDefault="00F804F1" w:rsidP="00C815D9">
      <w:pPr>
        <w:spacing w:before="120" w:after="240" w:line="240" w:lineRule="auto"/>
        <w:ind w:left="284"/>
        <w:jc w:val="both"/>
        <w:rPr>
          <w:rFonts w:ascii="Arial" w:hAnsi="Arial" w:cs="Arial"/>
          <w:b/>
          <w:strike/>
          <w:sz w:val="24"/>
          <w:szCs w:val="24"/>
        </w:rPr>
      </w:pPr>
      <w:r w:rsidRPr="00F804F1">
        <w:rPr>
          <w:rFonts w:ascii="Arial" w:hAnsi="Arial" w:cs="Arial"/>
          <w:b/>
          <w:strike/>
          <w:sz w:val="24"/>
          <w:szCs w:val="24"/>
        </w:rPr>
        <w:t>3. Tato zřizovací listina je vyhotovena v šesti vyhotoveních, z nichž každé má platnost originálu. Dvě vyhotovení obdrží příspěvková organizace a čtyři vyhotovení zřizovatel.</w:t>
      </w:r>
    </w:p>
    <w:p w:rsidR="00F804F1" w:rsidRPr="00F804F1" w:rsidRDefault="00F804F1" w:rsidP="00C815D9">
      <w:pPr>
        <w:spacing w:before="120" w:after="24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804F1">
        <w:rPr>
          <w:rFonts w:ascii="Arial" w:hAnsi="Arial" w:cs="Arial"/>
          <w:b/>
          <w:sz w:val="24"/>
          <w:szCs w:val="24"/>
        </w:rPr>
        <w:t>3. Tato zřizovací listina je vyhotovena v elektronické podobě.</w:t>
      </w:r>
    </w:p>
    <w:p w:rsidR="00ED72F9" w:rsidRDefault="00ED72F9" w:rsidP="00ED72F9">
      <w:pPr>
        <w:spacing w:after="0"/>
        <w:contextualSpacing/>
        <w:jc w:val="both"/>
        <w:rPr>
          <w:rFonts w:ascii="Arial" w:hAnsi="Arial"/>
          <w:sz w:val="24"/>
          <w:szCs w:val="24"/>
        </w:rPr>
      </w:pPr>
    </w:p>
    <w:p w:rsidR="0079592D" w:rsidRDefault="004A4A8D" w:rsidP="00ED72F9">
      <w:pPr>
        <w:spacing w:after="0"/>
        <w:contextualSpacing/>
        <w:jc w:val="both"/>
        <w:rPr>
          <w:rFonts w:ascii="Arial" w:hAnsi="Arial"/>
          <w:sz w:val="24"/>
          <w:szCs w:val="24"/>
        </w:rPr>
      </w:pPr>
      <w:r w:rsidRPr="00862308">
        <w:rPr>
          <w:rFonts w:ascii="Arial" w:hAnsi="Arial"/>
          <w:sz w:val="24"/>
          <w:szCs w:val="24"/>
        </w:rPr>
        <w:t>V ostatních částech zůstává zřizovací listina beze změny.</w:t>
      </w:r>
    </w:p>
    <w:p w:rsidR="00ED72F9" w:rsidRPr="00862308" w:rsidRDefault="00ED72F9" w:rsidP="00ED72F9">
      <w:pPr>
        <w:spacing w:after="0"/>
        <w:contextualSpacing/>
        <w:jc w:val="both"/>
        <w:rPr>
          <w:rFonts w:ascii="Arial" w:hAnsi="Arial"/>
          <w:sz w:val="24"/>
          <w:szCs w:val="24"/>
        </w:rPr>
      </w:pPr>
    </w:p>
    <w:p w:rsidR="00380D48" w:rsidRPr="00380D48" w:rsidRDefault="00380D48" w:rsidP="00ED72F9">
      <w:pPr>
        <w:spacing w:after="0" w:line="259" w:lineRule="auto"/>
        <w:jc w:val="both"/>
        <w:rPr>
          <w:rFonts w:ascii="Arial" w:hAnsi="Arial"/>
          <w:sz w:val="24"/>
          <w:szCs w:val="24"/>
        </w:rPr>
      </w:pPr>
      <w:r w:rsidRPr="00380D48">
        <w:rPr>
          <w:rFonts w:ascii="Arial" w:hAnsi="Arial" w:cs="Arial"/>
          <w:sz w:val="24"/>
          <w:szCs w:val="24"/>
        </w:rPr>
        <w:t>Tento dodatek nabývá platnosti a účinnosti dnem jeho schválení Zastupitelstvem Olomouckého kraje.</w:t>
      </w:r>
    </w:p>
    <w:p w:rsidR="00F804F1" w:rsidRDefault="00BC2A97" w:rsidP="00ED72F9">
      <w:pPr>
        <w:pStyle w:val="Bnstylodsazennahoe"/>
        <w:spacing w:before="0" w:after="0"/>
        <w:rPr>
          <w:rFonts w:cs="Arial"/>
        </w:rPr>
      </w:pPr>
      <w:r w:rsidRPr="00D05FD2">
        <w:rPr>
          <w:rFonts w:cs="Arial"/>
        </w:rPr>
        <w:lastRenderedPageBreak/>
        <w:t xml:space="preserve">Tento dodatek schválilo Zastupitelstvo Olomouckého kraje dne </w:t>
      </w:r>
      <w:r>
        <w:rPr>
          <w:rFonts w:cs="Arial"/>
        </w:rPr>
        <w:t xml:space="preserve">12. 12. </w:t>
      </w:r>
      <w:r w:rsidRPr="00D05FD2">
        <w:rPr>
          <w:rFonts w:cs="Arial"/>
        </w:rPr>
        <w:t>2022 usnesením č. UZ/x/x/2022.</w:t>
      </w:r>
    </w:p>
    <w:p w:rsidR="00BC2A97" w:rsidRDefault="00BC2A97" w:rsidP="00C815D9">
      <w:pPr>
        <w:pStyle w:val="Bnstylodsazennahoe"/>
      </w:pPr>
    </w:p>
    <w:p w:rsidR="004A4A8D" w:rsidRPr="00862308" w:rsidRDefault="000F71F3" w:rsidP="00C815D9">
      <w:pPr>
        <w:pStyle w:val="Bnstylodsazennahoe"/>
      </w:pPr>
      <w:r>
        <w:t>V Olomouci dne 12. 12. 2022</w:t>
      </w:r>
    </w:p>
    <w:p w:rsidR="004A4A8D" w:rsidRPr="00862308" w:rsidRDefault="004A4A8D" w:rsidP="004A4A8D">
      <w:pPr>
        <w:pStyle w:val="Bnstylodsazennahoe"/>
        <w:spacing w:before="0" w:after="0"/>
      </w:pPr>
    </w:p>
    <w:p w:rsidR="0079592D" w:rsidRDefault="0079592D" w:rsidP="004A4A8D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</w:p>
    <w:p w:rsidR="004A4A8D" w:rsidRPr="00862308" w:rsidRDefault="000F71F3" w:rsidP="004A4A8D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Ing. Josef Suchánek</w:t>
      </w:r>
    </w:p>
    <w:p w:rsidR="004A4A8D" w:rsidRDefault="004A4A8D" w:rsidP="004A4A8D">
      <w:pPr>
        <w:spacing w:after="0"/>
        <w:rPr>
          <w:rFonts w:ascii="Arial" w:hAnsi="Arial" w:cs="Arial"/>
          <w:sz w:val="24"/>
          <w:szCs w:val="24"/>
        </w:rPr>
        <w:sectPr w:rsidR="004A4A8D" w:rsidSect="00835E8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 w:rsidRPr="00862308">
        <w:rPr>
          <w:rFonts w:ascii="Arial" w:hAnsi="Arial" w:cs="Arial"/>
          <w:sz w:val="24"/>
          <w:szCs w:val="24"/>
        </w:rPr>
        <w:t xml:space="preserve">   </w:t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  <w:t xml:space="preserve">       hejtman Olomouckého kraje</w:t>
      </w:r>
      <w:r>
        <w:rPr>
          <w:rFonts w:ascii="Arial" w:hAnsi="Arial" w:cs="Arial"/>
          <w:sz w:val="24"/>
          <w:szCs w:val="24"/>
        </w:rPr>
        <w:br w:type="page"/>
      </w:r>
    </w:p>
    <w:p w:rsidR="00C815D9" w:rsidRDefault="004A4A8D" w:rsidP="00C815D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lastRenderedPageBreak/>
        <w:t>Příloha č. 1 Vymezení majetku v hospodaření příspěvkové organizace:</w:t>
      </w:r>
    </w:p>
    <w:p w:rsidR="004A4A8D" w:rsidRPr="00862308" w:rsidRDefault="004A4A8D" w:rsidP="00C815D9">
      <w:pPr>
        <w:tabs>
          <w:tab w:val="left" w:pos="0"/>
          <w:tab w:val="left" w:pos="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color w:val="FF0000"/>
          <w:sz w:val="24"/>
          <w:szCs w:val="24"/>
        </w:rPr>
        <w:tab/>
      </w:r>
      <w:r w:rsidR="00C815D9">
        <w:rPr>
          <w:rFonts w:ascii="Arial" w:hAnsi="Arial" w:cs="Arial"/>
          <w:b/>
          <w:color w:val="FF0000"/>
          <w:sz w:val="24"/>
          <w:szCs w:val="24"/>
        </w:rPr>
        <w:tab/>
      </w:r>
    </w:p>
    <w:p w:rsidR="004A4A8D" w:rsidRPr="00862308" w:rsidRDefault="004A4A8D" w:rsidP="004A4A8D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 xml:space="preserve">A) Nemovitý majetek – stavby </w:t>
      </w:r>
    </w:p>
    <w:p w:rsidR="004A4A8D" w:rsidRPr="00862308" w:rsidRDefault="004A4A8D" w:rsidP="004A4A8D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>A1) Stavby - budovy ZAPSANÉ v katastru nemovitostí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1"/>
        <w:gridCol w:w="2451"/>
        <w:gridCol w:w="3498"/>
        <w:gridCol w:w="1447"/>
        <w:gridCol w:w="1954"/>
        <w:gridCol w:w="1843"/>
      </w:tblGrid>
      <w:tr w:rsidR="004A4A8D" w:rsidRPr="00862308" w:rsidTr="00C815D9">
        <w:trPr>
          <w:trHeight w:val="41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C815D9">
              <w:rPr>
                <w:rFonts w:ascii="Arial" w:hAnsi="Arial" w:cs="Arial"/>
                <w:b/>
                <w:szCs w:val="24"/>
              </w:rPr>
              <w:t>č.p.</w:t>
            </w:r>
            <w:proofErr w:type="gramEnd"/>
            <w:r w:rsidRPr="00C815D9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C815D9">
              <w:rPr>
                <w:rFonts w:ascii="Arial" w:hAnsi="Arial" w:cs="Arial"/>
                <w:b/>
                <w:szCs w:val="24"/>
              </w:rPr>
              <w:t>č.ev</w:t>
            </w:r>
            <w:proofErr w:type="spellEnd"/>
            <w:r w:rsidRPr="00C815D9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způsob využití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na parcele č.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 I-Město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2390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815D9">
              <w:rPr>
                <w:rFonts w:ascii="Arial" w:hAnsi="Arial" w:cs="Arial"/>
                <w:szCs w:val="24"/>
              </w:rPr>
              <w:t>obč</w:t>
            </w:r>
            <w:proofErr w:type="spellEnd"/>
            <w:r w:rsidRPr="00C815D9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C815D9">
              <w:rPr>
                <w:rFonts w:ascii="Arial" w:hAnsi="Arial" w:cs="Arial"/>
                <w:szCs w:val="24"/>
              </w:rPr>
              <w:t>vyb</w:t>
            </w:r>
            <w:proofErr w:type="spellEnd"/>
            <w:r w:rsidRPr="00C815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1150/1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2927/--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815D9">
              <w:rPr>
                <w:rFonts w:ascii="Arial" w:hAnsi="Arial" w:cs="Arial"/>
                <w:szCs w:val="24"/>
              </w:rPr>
              <w:t>obč</w:t>
            </w:r>
            <w:proofErr w:type="spellEnd"/>
            <w:r w:rsidRPr="00C815D9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C815D9">
              <w:rPr>
                <w:rFonts w:ascii="Arial" w:hAnsi="Arial" w:cs="Arial"/>
                <w:szCs w:val="24"/>
              </w:rPr>
              <w:t>vyb</w:t>
            </w:r>
            <w:proofErr w:type="spellEnd"/>
            <w:r w:rsidRPr="00C815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1150/2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2200/--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815D9">
              <w:rPr>
                <w:rFonts w:ascii="Arial" w:hAnsi="Arial" w:cs="Arial"/>
                <w:szCs w:val="24"/>
              </w:rPr>
              <w:t>obč</w:t>
            </w:r>
            <w:proofErr w:type="spellEnd"/>
            <w:r w:rsidRPr="00C815D9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C815D9">
              <w:rPr>
                <w:rFonts w:ascii="Arial" w:hAnsi="Arial" w:cs="Arial"/>
                <w:szCs w:val="24"/>
              </w:rPr>
              <w:t>vyb</w:t>
            </w:r>
            <w:proofErr w:type="spellEnd"/>
            <w:r w:rsidRPr="00C815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1146/1</w:t>
            </w:r>
          </w:p>
        </w:tc>
      </w:tr>
      <w:tr w:rsidR="00442B58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B58" w:rsidRPr="00C815D9" w:rsidRDefault="00442B58" w:rsidP="00C815D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 xml:space="preserve">  4.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58" w:rsidRPr="00C815D9" w:rsidRDefault="00442B58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Přerov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58" w:rsidRPr="00C815D9" w:rsidRDefault="00442B58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Přerov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58" w:rsidRPr="00C815D9" w:rsidRDefault="00442B58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Přerov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58" w:rsidRPr="00C815D9" w:rsidRDefault="00442B58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 xml:space="preserve">bez </w:t>
            </w:r>
            <w:proofErr w:type="gramStart"/>
            <w:r w:rsidRPr="00C815D9">
              <w:rPr>
                <w:rFonts w:ascii="Arial" w:hAnsi="Arial" w:cs="Arial"/>
                <w:b/>
                <w:szCs w:val="24"/>
              </w:rPr>
              <w:t>č.p.</w:t>
            </w:r>
            <w:proofErr w:type="gramEnd"/>
            <w:r w:rsidRPr="00C815D9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C815D9">
              <w:rPr>
                <w:rFonts w:ascii="Arial" w:hAnsi="Arial" w:cs="Arial"/>
                <w:b/>
                <w:szCs w:val="24"/>
              </w:rPr>
              <w:t>č.e</w:t>
            </w:r>
            <w:proofErr w:type="spellEnd"/>
            <w:r w:rsidRPr="00C815D9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58" w:rsidRPr="00C815D9" w:rsidRDefault="00442B58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jiná stavba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58" w:rsidRPr="00C815D9" w:rsidRDefault="00442B58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1146/2</w:t>
            </w:r>
          </w:p>
        </w:tc>
      </w:tr>
    </w:tbl>
    <w:p w:rsidR="00C815D9" w:rsidRDefault="00C815D9" w:rsidP="00C815D9">
      <w:pPr>
        <w:spacing w:after="0"/>
        <w:rPr>
          <w:rFonts w:ascii="Arial" w:hAnsi="Arial" w:cs="Arial"/>
          <w:b/>
          <w:sz w:val="24"/>
          <w:szCs w:val="24"/>
        </w:rPr>
      </w:pPr>
    </w:p>
    <w:p w:rsidR="004A4A8D" w:rsidRPr="00862308" w:rsidRDefault="004A4A8D" w:rsidP="004A4A8D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>A2) Stavby nezapsané do katastru nemovitostí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3544"/>
        <w:gridCol w:w="3051"/>
        <w:gridCol w:w="2194"/>
      </w:tblGrid>
      <w:tr w:rsidR="004A4A8D" w:rsidRPr="00862308" w:rsidTr="00C815D9">
        <w:trPr>
          <w:trHeight w:val="51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část obce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způsob využití</w:t>
            </w:r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na parcele č.</w:t>
            </w:r>
          </w:p>
        </w:tc>
      </w:tr>
      <w:tr w:rsidR="004A4A8D" w:rsidRPr="00862308" w:rsidTr="00C815D9">
        <w:trPr>
          <w:trHeight w:val="375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 I - Město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komunikace, odvodnění vjezdu</w:t>
            </w:r>
          </w:p>
        </w:tc>
        <w:tc>
          <w:tcPr>
            <w:tcW w:w="21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7776D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1146/1</w:t>
            </w:r>
          </w:p>
        </w:tc>
      </w:tr>
    </w:tbl>
    <w:p w:rsidR="004A4A8D" w:rsidRPr="00862308" w:rsidRDefault="004A4A8D" w:rsidP="004A4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4A8D" w:rsidRPr="00862308" w:rsidRDefault="004A4A8D" w:rsidP="004A4A8D">
      <w:pPr>
        <w:jc w:val="both"/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>B) Nemovitý majetek - pozemky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2"/>
        <w:gridCol w:w="5103"/>
      </w:tblGrid>
      <w:tr w:rsidR="004A4A8D" w:rsidRPr="00862308" w:rsidTr="00C815D9">
        <w:trPr>
          <w:trHeight w:val="38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parcela č.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1150/1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1150/2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1151/1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1151/2</w:t>
            </w:r>
          </w:p>
        </w:tc>
      </w:tr>
    </w:tbl>
    <w:p w:rsidR="004A4A8D" w:rsidRPr="00862308" w:rsidRDefault="004A4A8D" w:rsidP="004A4A8D">
      <w:pPr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2"/>
        <w:gridCol w:w="5103"/>
      </w:tblGrid>
      <w:tr w:rsidR="004A4A8D" w:rsidRPr="00862308" w:rsidTr="00C815D9">
        <w:trPr>
          <w:trHeight w:val="45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15D9">
              <w:rPr>
                <w:rFonts w:ascii="Arial" w:hAnsi="Arial" w:cs="Arial"/>
                <w:b/>
                <w:szCs w:val="24"/>
              </w:rPr>
              <w:t>parcela č.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1152/1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1145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1146/1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1146/2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1147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1148</w:t>
            </w:r>
          </w:p>
        </w:tc>
      </w:tr>
      <w:tr w:rsidR="004A4A8D" w:rsidRPr="00862308" w:rsidTr="00C815D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8D" w:rsidRPr="00C815D9" w:rsidRDefault="004A4A8D" w:rsidP="00C815D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15D9">
              <w:rPr>
                <w:rFonts w:ascii="Arial" w:hAnsi="Arial" w:cs="Arial"/>
                <w:szCs w:val="24"/>
              </w:rPr>
              <w:t>1149</w:t>
            </w:r>
          </w:p>
        </w:tc>
      </w:tr>
    </w:tbl>
    <w:p w:rsidR="004A4A8D" w:rsidRPr="00862308" w:rsidRDefault="004A4A8D" w:rsidP="004A4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4A8D" w:rsidRPr="00862308" w:rsidRDefault="004A4A8D" w:rsidP="004A4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4A8D" w:rsidRPr="00862308" w:rsidRDefault="004A4A8D" w:rsidP="004A4A8D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 xml:space="preserve">C) Ostatní majetek </w:t>
      </w:r>
    </w:p>
    <w:p w:rsidR="004A4A8D" w:rsidRPr="00862308" w:rsidRDefault="004A4A8D" w:rsidP="004A4A8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2308">
        <w:rPr>
          <w:rFonts w:ascii="Arial" w:hAnsi="Arial" w:cs="Arial"/>
          <w:sz w:val="24"/>
          <w:szCs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A4A8D" w:rsidRPr="00862308" w:rsidRDefault="004A4A8D" w:rsidP="004A4A8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4A4A8D" w:rsidRPr="00862308" w:rsidRDefault="004A4A8D" w:rsidP="004A4A8D">
      <w:pPr>
        <w:rPr>
          <w:rFonts w:ascii="Arial" w:hAnsi="Arial" w:cs="Arial"/>
          <w:sz w:val="24"/>
          <w:szCs w:val="24"/>
        </w:rPr>
      </w:pPr>
    </w:p>
    <w:p w:rsidR="004A4A8D" w:rsidRPr="00862308" w:rsidRDefault="004A4A8D" w:rsidP="004A4A8D">
      <w:pPr>
        <w:rPr>
          <w:rFonts w:ascii="Arial" w:hAnsi="Arial" w:cs="Arial"/>
          <w:sz w:val="24"/>
          <w:szCs w:val="24"/>
        </w:rPr>
      </w:pPr>
    </w:p>
    <w:p w:rsidR="004A4A8D" w:rsidRPr="00862308" w:rsidRDefault="004A4A8D" w:rsidP="004A4A8D">
      <w:pPr>
        <w:spacing w:after="0"/>
        <w:rPr>
          <w:rFonts w:ascii="Arial" w:hAnsi="Arial" w:cs="Arial"/>
          <w:sz w:val="24"/>
          <w:szCs w:val="24"/>
        </w:rPr>
      </w:pPr>
    </w:p>
    <w:p w:rsidR="006C4B52" w:rsidRDefault="006C4B52"/>
    <w:sectPr w:rsidR="006C4B52" w:rsidSect="00835E8C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8D" w:rsidRDefault="004A4A8D" w:rsidP="004A4A8D">
      <w:pPr>
        <w:spacing w:after="0" w:line="240" w:lineRule="auto"/>
      </w:pPr>
      <w:r>
        <w:separator/>
      </w:r>
    </w:p>
  </w:endnote>
  <w:endnote w:type="continuationSeparator" w:id="0">
    <w:p w:rsidR="004A4A8D" w:rsidRDefault="004A4A8D" w:rsidP="004A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F1" w:rsidRPr="0079592D" w:rsidRDefault="00C35421" w:rsidP="00C815D9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6C17B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12. 12</w:t>
    </w:r>
    <w:r w:rsidRPr="006C17B5">
      <w:rPr>
        <w:rFonts w:ascii="Arial" w:hAnsi="Arial" w:cs="Arial"/>
        <w:i/>
        <w:sz w:val="20"/>
        <w:szCs w:val="20"/>
      </w:rPr>
      <w:t>. 2022</w:t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6C69E7" w:rsidRPr="00B54DD6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6C69E7" w:rsidRPr="00B54DD6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6C69E7" w:rsidRPr="00B54DD6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835E8C">
      <w:rPr>
        <w:rFonts w:ascii="Arial" w:hAnsi="Arial" w:cs="Arial"/>
        <w:i/>
        <w:noProof/>
        <w:color w:val="000000" w:themeColor="text1"/>
        <w:sz w:val="20"/>
        <w:szCs w:val="20"/>
      </w:rPr>
      <w:t>2</w:t>
    </w:r>
    <w:r w:rsidR="006C69E7" w:rsidRPr="00B54DD6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835E8C">
      <w:rPr>
        <w:rStyle w:val="slostrnky"/>
        <w:rFonts w:ascii="Arial" w:hAnsi="Arial" w:cs="Arial"/>
        <w:i/>
        <w:color w:val="000000" w:themeColor="text1"/>
        <w:sz w:val="20"/>
        <w:szCs w:val="20"/>
      </w:rPr>
      <w:t>37</w:t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t>)</w:t>
    </w:r>
  </w:p>
  <w:p w:rsidR="002107F1" w:rsidRPr="008275BD" w:rsidRDefault="00C35421" w:rsidP="00C815D9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5E7966" w:rsidRPr="00057CD2">
      <w:rPr>
        <w:rFonts w:ascii="Arial" w:hAnsi="Arial" w:cs="Arial"/>
        <w:i/>
        <w:sz w:val="20"/>
        <w:szCs w:val="20"/>
      </w:rPr>
      <w:t>.</w:t>
    </w:r>
    <w:r w:rsidR="004A4A8D" w:rsidRPr="008275BD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2107F1" w:rsidRPr="002107F1" w:rsidRDefault="00F804F1" w:rsidP="00C815D9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</w:t>
    </w:r>
    <w:r w:rsidRPr="005F6527">
      <w:rPr>
        <w:rFonts w:ascii="Arial" w:hAnsi="Arial" w:cs="Arial"/>
        <w:i/>
        <w:sz w:val="20"/>
        <w:szCs w:val="20"/>
      </w:rPr>
      <w:t xml:space="preserve"> –</w:t>
    </w:r>
    <w:r w:rsidRPr="00197579">
      <w:t xml:space="preserve"> </w:t>
    </w:r>
    <w:r w:rsidR="000F71F3">
      <w:rPr>
        <w:rFonts w:ascii="Arial" w:hAnsi="Arial" w:cs="Arial"/>
        <w:i/>
        <w:sz w:val="20"/>
        <w:szCs w:val="20"/>
      </w:rPr>
      <w:t>Dodatek č. 18</w:t>
    </w:r>
    <w:r w:rsidR="004A4A8D" w:rsidRPr="008275BD">
      <w:rPr>
        <w:rFonts w:ascii="Arial" w:hAnsi="Arial" w:cs="Arial"/>
        <w:i/>
        <w:sz w:val="20"/>
        <w:szCs w:val="20"/>
      </w:rPr>
      <w:t xml:space="preserve"> ke zřizovací listině Gymnázia Jana Blahoslava a Střední pedagogické školy, Přerov, Denisova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F1" w:rsidRPr="00B54DD6" w:rsidRDefault="00C35421" w:rsidP="002107F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color w:val="000000" w:themeColor="text1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6C17B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12. 12</w:t>
    </w:r>
    <w:r w:rsidRPr="006C17B5">
      <w:rPr>
        <w:rFonts w:ascii="Arial" w:hAnsi="Arial" w:cs="Arial"/>
        <w:i/>
        <w:sz w:val="20"/>
        <w:szCs w:val="20"/>
      </w:rPr>
      <w:t>. 2022</w:t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79592D">
      <w:rPr>
        <w:rFonts w:ascii="Arial" w:hAnsi="Arial" w:cs="Arial"/>
        <w:i/>
        <w:sz w:val="20"/>
        <w:szCs w:val="20"/>
      </w:rPr>
      <w:tab/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instrText xml:space="preserve"> PAGE   \* MERGEFORMAT </w:instrText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835E8C">
      <w:rPr>
        <w:rFonts w:ascii="Arial" w:hAnsi="Arial" w:cs="Arial"/>
        <w:i/>
        <w:noProof/>
        <w:color w:val="000000" w:themeColor="text1"/>
        <w:sz w:val="20"/>
        <w:szCs w:val="20"/>
      </w:rPr>
      <w:t>5</w:t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835E8C">
      <w:rPr>
        <w:rStyle w:val="slostrnky"/>
        <w:rFonts w:ascii="Arial" w:hAnsi="Arial" w:cs="Arial"/>
        <w:i/>
        <w:color w:val="000000" w:themeColor="text1"/>
        <w:sz w:val="20"/>
        <w:szCs w:val="20"/>
      </w:rPr>
      <w:t>37</w:t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t xml:space="preserve">) </w:t>
    </w:r>
  </w:p>
  <w:p w:rsidR="002107F1" w:rsidRPr="00B54DD6" w:rsidRDefault="00C35421" w:rsidP="002107F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color w:val="000000" w:themeColor="text1"/>
        <w:sz w:val="20"/>
        <w:szCs w:val="20"/>
      </w:rPr>
    </w:pPr>
    <w:r>
      <w:rPr>
        <w:rFonts w:ascii="Arial" w:hAnsi="Arial" w:cs="Arial"/>
        <w:i/>
        <w:color w:val="000000" w:themeColor="text1"/>
        <w:sz w:val="20"/>
        <w:szCs w:val="20"/>
      </w:rPr>
      <w:t>53</w:t>
    </w:r>
    <w:r w:rsidR="005E7966" w:rsidRPr="00057CD2">
      <w:rPr>
        <w:rFonts w:ascii="Arial" w:hAnsi="Arial" w:cs="Arial"/>
        <w:i/>
        <w:color w:val="000000" w:themeColor="text1"/>
        <w:sz w:val="20"/>
        <w:szCs w:val="20"/>
      </w:rPr>
      <w:t>.</w:t>
    </w:r>
    <w:r w:rsidR="005E7966" w:rsidRPr="00B54DD6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4A4A8D" w:rsidRPr="00B54DD6">
      <w:rPr>
        <w:rFonts w:ascii="Arial" w:hAnsi="Arial" w:cs="Arial"/>
        <w:i/>
        <w:color w:val="000000" w:themeColor="text1"/>
        <w:sz w:val="20"/>
        <w:szCs w:val="20"/>
      </w:rPr>
      <w:t>- Dodatky zřizovacích listin školských příspěvkových organizací</w:t>
    </w:r>
  </w:p>
  <w:p w:rsidR="0082044B" w:rsidRPr="0079592D" w:rsidRDefault="00F804F1" w:rsidP="0079592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 </w:t>
    </w:r>
    <w:r w:rsidR="00442B58">
      <w:rPr>
        <w:rFonts w:ascii="Arial" w:hAnsi="Arial" w:cs="Arial"/>
        <w:i/>
        <w:sz w:val="20"/>
        <w:szCs w:val="20"/>
      </w:rPr>
      <w:t>– Dodatek č. 18</w:t>
    </w:r>
    <w:r w:rsidR="004A4A8D" w:rsidRPr="008275BD">
      <w:rPr>
        <w:rFonts w:ascii="Arial" w:hAnsi="Arial" w:cs="Arial"/>
        <w:i/>
        <w:sz w:val="20"/>
        <w:szCs w:val="20"/>
      </w:rPr>
      <w:t xml:space="preserve"> ke zřizovací listině Gymnázia Jana Blahoslava a Střední pedagogické školy, Přerov, Denisova 3</w:t>
    </w:r>
  </w:p>
  <w:p w:rsidR="006A6CE7" w:rsidRPr="00893174" w:rsidRDefault="00442B58" w:rsidP="00442B58">
    <w:pPr>
      <w:pStyle w:val="Zhlav"/>
      <w:tabs>
        <w:tab w:val="clear" w:pos="4536"/>
        <w:tab w:val="clear" w:pos="9072"/>
        <w:tab w:val="left" w:pos="11160"/>
      </w:tabs>
      <w:rPr>
        <w:i/>
        <w:sz w:val="20"/>
        <w:szCs w:val="20"/>
      </w:rPr>
    </w:pP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8D" w:rsidRDefault="004A4A8D" w:rsidP="004A4A8D">
      <w:pPr>
        <w:spacing w:after="0" w:line="240" w:lineRule="auto"/>
      </w:pPr>
      <w:r>
        <w:separator/>
      </w:r>
    </w:p>
  </w:footnote>
  <w:footnote w:type="continuationSeparator" w:id="0">
    <w:p w:rsidR="004A4A8D" w:rsidRDefault="004A4A8D" w:rsidP="004A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F1" w:rsidRPr="00F804F1" w:rsidRDefault="00F804F1" w:rsidP="002107F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24"/>
        <w:szCs w:val="24"/>
      </w:rPr>
    </w:pPr>
    <w:proofErr w:type="spellStart"/>
    <w:r w:rsidRPr="00F804F1">
      <w:rPr>
        <w:rFonts w:ascii="Arial" w:hAnsi="Arial" w:cs="Arial"/>
        <w:i/>
        <w:sz w:val="24"/>
        <w:szCs w:val="24"/>
      </w:rPr>
      <w:t>Usnesení_příloha</w:t>
    </w:r>
    <w:proofErr w:type="spellEnd"/>
    <w:r w:rsidRPr="00F804F1">
      <w:rPr>
        <w:rFonts w:ascii="Arial" w:hAnsi="Arial" w:cs="Arial"/>
        <w:i/>
        <w:sz w:val="24"/>
        <w:szCs w:val="24"/>
      </w:rPr>
      <w:t xml:space="preserve"> č. 1 – </w:t>
    </w:r>
    <w:r w:rsidR="000F71F3" w:rsidRPr="00F804F1">
      <w:rPr>
        <w:rFonts w:ascii="Arial" w:hAnsi="Arial" w:cs="Arial"/>
        <w:i/>
        <w:sz w:val="24"/>
        <w:szCs w:val="24"/>
      </w:rPr>
      <w:t>Dodatek č. 18</w:t>
    </w:r>
    <w:r w:rsidR="004A4A8D" w:rsidRPr="00F804F1">
      <w:rPr>
        <w:rFonts w:ascii="Arial" w:hAnsi="Arial" w:cs="Arial"/>
        <w:i/>
        <w:sz w:val="24"/>
        <w:szCs w:val="24"/>
      </w:rPr>
      <w:t xml:space="preserve"> ke zřizovací listině Gymnázia Jana Blahoslava a Střední pedagogické školy, Přerov, Denisova 3</w:t>
    </w:r>
  </w:p>
  <w:p w:rsidR="002107F1" w:rsidRDefault="00835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E5" w:rsidRPr="002107F1" w:rsidRDefault="00F804F1" w:rsidP="002107F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24"/>
        <w:szCs w:val="24"/>
      </w:rPr>
    </w:pPr>
    <w:proofErr w:type="spellStart"/>
    <w:r w:rsidRPr="00F804F1">
      <w:rPr>
        <w:rFonts w:ascii="Arial" w:hAnsi="Arial" w:cs="Arial"/>
        <w:i/>
        <w:sz w:val="24"/>
        <w:szCs w:val="24"/>
      </w:rPr>
      <w:t>Usnesení_příloha</w:t>
    </w:r>
    <w:proofErr w:type="spellEnd"/>
    <w:r w:rsidRPr="00F804F1">
      <w:rPr>
        <w:rFonts w:ascii="Arial" w:hAnsi="Arial" w:cs="Arial"/>
        <w:i/>
        <w:sz w:val="24"/>
        <w:szCs w:val="24"/>
      </w:rPr>
      <w:t xml:space="preserve"> č. 1 </w:t>
    </w:r>
    <w:r w:rsidR="000F71F3">
      <w:rPr>
        <w:rFonts w:ascii="Arial" w:hAnsi="Arial" w:cs="Arial"/>
        <w:i/>
        <w:sz w:val="24"/>
        <w:szCs w:val="24"/>
      </w:rPr>
      <w:t>– Dodatek č. 18</w:t>
    </w:r>
    <w:r w:rsidR="004A4A8D" w:rsidRPr="008275BD">
      <w:rPr>
        <w:rFonts w:ascii="Arial" w:hAnsi="Arial" w:cs="Arial"/>
        <w:i/>
        <w:sz w:val="24"/>
        <w:szCs w:val="24"/>
      </w:rPr>
      <w:t xml:space="preserve"> ke zřizovací listině Gymnázia Jana Blahoslava a Střední pedagogické školy, Přerov, Denisova 3</w:t>
    </w:r>
  </w:p>
  <w:p w:rsidR="003C14E5" w:rsidRDefault="00835E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8D"/>
    <w:rsid w:val="000213E3"/>
    <w:rsid w:val="000317F1"/>
    <w:rsid w:val="00057CD2"/>
    <w:rsid w:val="000F71F3"/>
    <w:rsid w:val="00380D48"/>
    <w:rsid w:val="003A561E"/>
    <w:rsid w:val="00442B58"/>
    <w:rsid w:val="004A4A8D"/>
    <w:rsid w:val="005068A8"/>
    <w:rsid w:val="005E7966"/>
    <w:rsid w:val="006C4B52"/>
    <w:rsid w:val="006C69E7"/>
    <w:rsid w:val="0079592D"/>
    <w:rsid w:val="007A1122"/>
    <w:rsid w:val="008275BD"/>
    <w:rsid w:val="00835E8C"/>
    <w:rsid w:val="0088043A"/>
    <w:rsid w:val="008F1AE0"/>
    <w:rsid w:val="00A366CC"/>
    <w:rsid w:val="00A86675"/>
    <w:rsid w:val="00B54DD6"/>
    <w:rsid w:val="00BC2A97"/>
    <w:rsid w:val="00C35421"/>
    <w:rsid w:val="00C815D9"/>
    <w:rsid w:val="00DD6DE2"/>
    <w:rsid w:val="00ED72F9"/>
    <w:rsid w:val="00F804F1"/>
    <w:rsid w:val="00F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18A82"/>
  <w15:chartTrackingRefBased/>
  <w15:docId w15:val="{2742BD80-3F93-4F01-9777-32E4F9AA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A8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stylodsazennahoe">
    <w:name w:val="Běžný styl odsazený nahoře"/>
    <w:basedOn w:val="Normln"/>
    <w:autoRedefine/>
    <w:rsid w:val="004A4A8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A4A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A4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A4A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4A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4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BCE1-3CE3-41FE-A17E-6B3BFBE9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19</cp:revision>
  <dcterms:created xsi:type="dcterms:W3CDTF">2022-11-03T10:08:00Z</dcterms:created>
  <dcterms:modified xsi:type="dcterms:W3CDTF">2022-11-24T10:36:00Z</dcterms:modified>
</cp:coreProperties>
</file>