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67ED6164" w:rsidR="00D171E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5D548F69" w14:textId="14E59272" w:rsidR="0006649A" w:rsidRPr="008B2298" w:rsidRDefault="0006649A" w:rsidP="008B2298">
      <w:pPr>
        <w:jc w:val="left"/>
        <w:rPr>
          <w:rFonts w:ascii="Arial" w:hAnsi="Arial" w:cs="Arial"/>
          <w:b/>
          <w:sz w:val="40"/>
          <w:szCs w:val="40"/>
        </w:rPr>
      </w:pPr>
      <w:r w:rsidRPr="008B2298">
        <w:rPr>
          <w:rFonts w:ascii="Arial" w:hAnsi="Arial" w:cs="Arial"/>
          <w:b/>
          <w:sz w:val="40"/>
          <w:szCs w:val="40"/>
        </w:rPr>
        <w:t>Dotace obcí</w:t>
      </w:r>
      <w:r w:rsidR="00CE4870">
        <w:rPr>
          <w:rFonts w:ascii="Arial" w:hAnsi="Arial" w:cs="Arial"/>
          <w:b/>
          <w:sz w:val="40"/>
          <w:szCs w:val="40"/>
        </w:rPr>
        <w:t>m na území Olomouckého kraje na </w:t>
      </w:r>
      <w:r w:rsidRPr="008B2298">
        <w:rPr>
          <w:rFonts w:ascii="Arial" w:hAnsi="Arial" w:cs="Arial"/>
          <w:b/>
          <w:sz w:val="40"/>
          <w:szCs w:val="40"/>
        </w:rPr>
        <w:t>řešení mimořádných událostí v oblasti vodohospodářské infrastruktury 202</w:t>
      </w:r>
      <w:r w:rsidR="00242851" w:rsidRPr="008B2298">
        <w:rPr>
          <w:rFonts w:ascii="Arial" w:hAnsi="Arial" w:cs="Arial"/>
          <w:b/>
          <w:sz w:val="40"/>
          <w:szCs w:val="40"/>
        </w:rPr>
        <w:t>3</w:t>
      </w:r>
    </w:p>
    <w:p w14:paraId="1CA4EACD" w14:textId="77777777" w:rsidR="00D171EF" w:rsidRPr="008B229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3B219A5" w14:textId="77777777" w:rsidR="0047132B" w:rsidRPr="008B2298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8B2298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8B229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B229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8B229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96DF1B7" w:rsidR="00691685" w:rsidRPr="008B22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6649A" w:rsidRPr="008B2298">
        <w:rPr>
          <w:rFonts w:ascii="Arial" w:hAnsi="Arial" w:cs="Arial"/>
          <w:b/>
          <w:bCs/>
          <w:sz w:val="24"/>
          <w:szCs w:val="24"/>
        </w:rPr>
        <w:t xml:space="preserve">03_02 „Dotace obcím na území Olomouckého kraje </w:t>
      </w:r>
      <w:r w:rsidR="0006649A" w:rsidRPr="008B2298">
        <w:rPr>
          <w:rFonts w:ascii="Arial" w:hAnsi="Arial" w:cs="Arial"/>
          <w:b/>
          <w:bCs/>
          <w:sz w:val="24"/>
          <w:szCs w:val="24"/>
        </w:rPr>
        <w:br/>
        <w:t>na řešení mimořádných událostí v oblasti vodohospodářské infrastruktury 202</w:t>
      </w:r>
      <w:r w:rsidR="00792518" w:rsidRPr="008B2298">
        <w:rPr>
          <w:rFonts w:ascii="Arial" w:hAnsi="Arial" w:cs="Arial"/>
          <w:b/>
          <w:bCs/>
          <w:sz w:val="24"/>
          <w:szCs w:val="24"/>
        </w:rPr>
        <w:t>3</w:t>
      </w:r>
      <w:r w:rsidR="0006649A" w:rsidRPr="008B2298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8B229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8B22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B229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8B229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B38076F" w:rsidR="000F74F8" w:rsidRPr="008B229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 xml:space="preserve">Řídící orgán: </w:t>
      </w:r>
      <w:r w:rsidRPr="008B2298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8B2298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8B229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B2298">
        <w:rPr>
          <w:rFonts w:ascii="Arial" w:hAnsi="Arial" w:cs="Arial"/>
          <w:b/>
          <w:sz w:val="24"/>
          <w:szCs w:val="24"/>
        </w:rPr>
        <w:t>Administrátorem dotačního programu</w:t>
      </w:r>
      <w:r w:rsidRPr="008B229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B229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24B6453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61B5A" w:rsidRPr="008B2298">
        <w:rPr>
          <w:rFonts w:ascii="Arial" w:hAnsi="Arial" w:cs="Arial"/>
          <w:sz w:val="24"/>
          <w:szCs w:val="24"/>
          <w:lang w:eastAsia="cs-CZ"/>
        </w:rPr>
        <w:t xml:space="preserve">životního prostředí a zemědělství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3EFC64D" w:rsidR="00FE0B1A" w:rsidRPr="008B22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Cílem dotačního programu</w:t>
      </w:r>
      <w:r w:rsidRPr="008B2298">
        <w:rPr>
          <w:rFonts w:ascii="Arial" w:hAnsi="Arial" w:cs="Arial"/>
          <w:sz w:val="24"/>
          <w:szCs w:val="24"/>
        </w:rPr>
        <w:t xml:space="preserve"> je podpora </w:t>
      </w:r>
      <w:r w:rsidR="00D75D5E" w:rsidRPr="008B2298">
        <w:rPr>
          <w:rFonts w:ascii="Arial" w:hAnsi="Arial" w:cs="Arial"/>
          <w:sz w:val="24"/>
          <w:szCs w:val="24"/>
        </w:rPr>
        <w:t xml:space="preserve">realizace opatření v situaci, kdy došlo k narušení nebo mimořádnému ohrožení základních funkcí území škodlivým působením sil a jevů, které ohrožují život, zdraví, majetek nebo životní prostředí. Jedná se zejména o řešení mimořádných situací (havárií) </w:t>
      </w:r>
      <w:r w:rsidR="00EC5A06" w:rsidRPr="008B2298">
        <w:rPr>
          <w:rFonts w:ascii="Arial" w:hAnsi="Arial" w:cs="Arial"/>
          <w:sz w:val="24"/>
          <w:szCs w:val="24"/>
        </w:rPr>
        <w:br/>
      </w:r>
      <w:r w:rsidR="00D75D5E" w:rsidRPr="008B2298">
        <w:rPr>
          <w:rFonts w:ascii="Arial" w:hAnsi="Arial" w:cs="Arial"/>
          <w:sz w:val="24"/>
          <w:szCs w:val="24"/>
        </w:rPr>
        <w:t xml:space="preserve">na infrastruktuře vodovodů a kanalizací pro veřejnou potřebu, řešení mimořádných situací (havárií) a zabránění škodám na vodních dílech </w:t>
      </w:r>
      <w:r w:rsidR="00EC5A06" w:rsidRPr="008B2298">
        <w:rPr>
          <w:rFonts w:ascii="Arial" w:hAnsi="Arial" w:cs="Arial"/>
          <w:sz w:val="24"/>
          <w:szCs w:val="24"/>
        </w:rPr>
        <w:br/>
      </w:r>
      <w:r w:rsidR="00D75D5E" w:rsidRPr="008B2298">
        <w:rPr>
          <w:rFonts w:ascii="Arial" w:hAnsi="Arial" w:cs="Arial"/>
          <w:sz w:val="24"/>
          <w:szCs w:val="24"/>
        </w:rPr>
        <w:t>v majetku obcí v důsledku povodňové situace na území Olomouckého kraje,</w:t>
      </w:r>
      <w:r w:rsidRPr="008B2298">
        <w:rPr>
          <w:rFonts w:ascii="Arial" w:hAnsi="Arial" w:cs="Arial"/>
          <w:sz w:val="24"/>
          <w:szCs w:val="24"/>
        </w:rPr>
        <w:t xml:space="preserve"> ve veřejném zájmu a v souladu s cíli Olomouckého kraje.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F4EA7B3" w:rsidR="00C13C47" w:rsidRPr="008B229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Vztahy n</w:t>
      </w:r>
      <w:r w:rsidR="00D729A5" w:rsidRPr="008B2298">
        <w:rPr>
          <w:rFonts w:ascii="Arial" w:hAnsi="Arial" w:cs="Arial"/>
          <w:sz w:val="24"/>
          <w:szCs w:val="24"/>
        </w:rPr>
        <w:t xml:space="preserve">eupravené </w:t>
      </w:r>
      <w:r w:rsidRPr="008B2298">
        <w:rPr>
          <w:rFonts w:ascii="Arial" w:hAnsi="Arial" w:cs="Arial"/>
          <w:sz w:val="24"/>
          <w:szCs w:val="24"/>
        </w:rPr>
        <w:t>t</w:t>
      </w:r>
      <w:r w:rsidR="00E6704A" w:rsidRPr="008B2298">
        <w:rPr>
          <w:rFonts w:ascii="Arial" w:hAnsi="Arial" w:cs="Arial"/>
          <w:sz w:val="24"/>
          <w:szCs w:val="24"/>
        </w:rPr>
        <w:t xml:space="preserve">ěmito Pravidly </w:t>
      </w:r>
      <w:r w:rsidRPr="008B229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B229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B2298">
        <w:rPr>
          <w:rFonts w:ascii="Arial" w:hAnsi="Arial" w:cs="Arial"/>
          <w:sz w:val="24"/>
          <w:szCs w:val="24"/>
        </w:rPr>
        <w:t xml:space="preserve">, schválenými </w:t>
      </w:r>
      <w:r w:rsidR="00E2502E" w:rsidRPr="008B2298">
        <w:rPr>
          <w:rFonts w:ascii="Arial" w:hAnsi="Arial" w:cs="Arial"/>
          <w:sz w:val="24"/>
          <w:szCs w:val="24"/>
        </w:rPr>
        <w:t xml:space="preserve">usnesením </w:t>
      </w:r>
      <w:r w:rsidR="00F449A3" w:rsidRPr="008B2298">
        <w:rPr>
          <w:rFonts w:ascii="Arial" w:hAnsi="Arial" w:cs="Arial"/>
          <w:sz w:val="24"/>
          <w:szCs w:val="24"/>
        </w:rPr>
        <w:t>Zastupitelstv</w:t>
      </w:r>
      <w:r w:rsidR="00E2502E" w:rsidRPr="008B2298">
        <w:rPr>
          <w:rFonts w:ascii="Arial" w:hAnsi="Arial" w:cs="Arial"/>
          <w:sz w:val="24"/>
          <w:szCs w:val="24"/>
        </w:rPr>
        <w:t>a</w:t>
      </w:r>
      <w:r w:rsidR="00F449A3" w:rsidRPr="008B2298">
        <w:rPr>
          <w:rFonts w:ascii="Arial" w:hAnsi="Arial" w:cs="Arial"/>
          <w:sz w:val="24"/>
          <w:szCs w:val="24"/>
        </w:rPr>
        <w:t xml:space="preserve"> Olomouckého kraje dne </w:t>
      </w:r>
      <w:r w:rsidR="00D16D92" w:rsidRPr="008B2298">
        <w:rPr>
          <w:rFonts w:ascii="Arial" w:hAnsi="Arial" w:cs="Arial"/>
          <w:sz w:val="24"/>
          <w:szCs w:val="24"/>
        </w:rPr>
        <w:t>2</w:t>
      </w:r>
      <w:r w:rsidR="00154A08" w:rsidRPr="008B2298">
        <w:rPr>
          <w:rFonts w:ascii="Arial" w:hAnsi="Arial" w:cs="Arial"/>
          <w:sz w:val="24"/>
          <w:szCs w:val="24"/>
        </w:rPr>
        <w:t>0</w:t>
      </w:r>
      <w:r w:rsidR="00D16D92" w:rsidRPr="008B2298">
        <w:rPr>
          <w:rFonts w:ascii="Arial" w:hAnsi="Arial" w:cs="Arial"/>
          <w:sz w:val="24"/>
          <w:szCs w:val="24"/>
        </w:rPr>
        <w:t xml:space="preserve">. </w:t>
      </w:r>
      <w:r w:rsidR="00154A08" w:rsidRPr="008B2298">
        <w:rPr>
          <w:rFonts w:ascii="Arial" w:hAnsi="Arial" w:cs="Arial"/>
          <w:sz w:val="24"/>
          <w:szCs w:val="24"/>
        </w:rPr>
        <w:t>9</w:t>
      </w:r>
      <w:r w:rsidR="00D16D92" w:rsidRPr="008B2298">
        <w:rPr>
          <w:rFonts w:ascii="Arial" w:hAnsi="Arial" w:cs="Arial"/>
          <w:sz w:val="24"/>
          <w:szCs w:val="24"/>
        </w:rPr>
        <w:t xml:space="preserve">. 2021 </w:t>
      </w:r>
      <w:r w:rsidR="00E2502E" w:rsidRPr="008B2298">
        <w:rPr>
          <w:rFonts w:ascii="Arial" w:hAnsi="Arial" w:cs="Arial"/>
          <w:sz w:val="24"/>
          <w:szCs w:val="24"/>
        </w:rPr>
        <w:t>č.</w:t>
      </w:r>
      <w:r w:rsidR="00F449A3" w:rsidRPr="008B2298">
        <w:rPr>
          <w:rFonts w:ascii="Arial" w:hAnsi="Arial" w:cs="Arial"/>
          <w:sz w:val="24"/>
          <w:szCs w:val="24"/>
        </w:rPr>
        <w:t xml:space="preserve"> UZ/</w:t>
      </w:r>
      <w:r w:rsidR="00D16D92" w:rsidRPr="008B2298">
        <w:rPr>
          <w:rFonts w:ascii="Arial" w:hAnsi="Arial" w:cs="Arial"/>
          <w:sz w:val="24"/>
          <w:szCs w:val="24"/>
        </w:rPr>
        <w:t>6/12</w:t>
      </w:r>
      <w:r w:rsidR="000A3BBC" w:rsidRPr="008B2298">
        <w:rPr>
          <w:rFonts w:ascii="Arial" w:hAnsi="Arial" w:cs="Arial"/>
          <w:sz w:val="24"/>
          <w:szCs w:val="24"/>
        </w:rPr>
        <w:t>/</w:t>
      </w:r>
      <w:r w:rsidR="00F449A3" w:rsidRPr="008B2298">
        <w:rPr>
          <w:rFonts w:ascii="Arial" w:hAnsi="Arial" w:cs="Arial"/>
          <w:sz w:val="24"/>
          <w:szCs w:val="24"/>
        </w:rPr>
        <w:t>2021</w:t>
      </w:r>
      <w:r w:rsidR="00EE6035" w:rsidRPr="008B2298">
        <w:rPr>
          <w:rFonts w:ascii="Arial" w:hAnsi="Arial" w:cs="Arial"/>
          <w:sz w:val="24"/>
          <w:szCs w:val="24"/>
        </w:rPr>
        <w:t xml:space="preserve"> (dále jen „</w:t>
      </w:r>
      <w:r w:rsidR="00EE6035" w:rsidRPr="008B2298">
        <w:rPr>
          <w:rFonts w:ascii="Arial" w:hAnsi="Arial" w:cs="Arial"/>
          <w:b/>
          <w:sz w:val="24"/>
          <w:szCs w:val="24"/>
        </w:rPr>
        <w:t>Zásady</w:t>
      </w:r>
      <w:r w:rsidR="00EE6035" w:rsidRPr="008B229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B229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30E99A5E" w:rsidR="00C44E0C" w:rsidRPr="008B229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B229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b/>
          <w:sz w:val="24"/>
          <w:szCs w:val="24"/>
        </w:rPr>
        <w:t>Kontaktní údaje</w:t>
      </w:r>
      <w:r w:rsidRPr="008B2298">
        <w:rPr>
          <w:rFonts w:ascii="Arial" w:hAnsi="Arial" w:cs="Arial"/>
          <w:sz w:val="24"/>
          <w:szCs w:val="24"/>
        </w:rPr>
        <w:t xml:space="preserve"> pro komunikaci s </w:t>
      </w:r>
      <w:r w:rsidR="001C6A0F" w:rsidRPr="008B2298">
        <w:rPr>
          <w:rFonts w:ascii="Arial" w:hAnsi="Arial" w:cs="Arial"/>
          <w:sz w:val="24"/>
          <w:szCs w:val="24"/>
        </w:rPr>
        <w:t>administrátorem:</w:t>
      </w:r>
      <w:r w:rsidR="001C6A0F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7D3A9FA" w:rsidR="00D841D9" w:rsidRPr="008B229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16D92" w:rsidRPr="008B2298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B229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2B817CA" w:rsidR="00D841D9" w:rsidRPr="008B229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677A6" w:rsidRPr="008B2298">
        <w:rPr>
          <w:rFonts w:ascii="Arial" w:hAnsi="Arial" w:cs="Arial"/>
          <w:sz w:val="24"/>
          <w:szCs w:val="24"/>
          <w:lang w:eastAsia="cs-CZ"/>
        </w:rPr>
        <w:t>40b</w:t>
      </w:r>
      <w:r w:rsidRPr="008B2298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3677A6" w:rsidRPr="008B2298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8B2298">
        <w:rPr>
          <w:rFonts w:ascii="Arial" w:hAnsi="Arial" w:cs="Arial"/>
          <w:sz w:val="24"/>
          <w:szCs w:val="24"/>
          <w:lang w:eastAsia="cs-CZ"/>
        </w:rPr>
        <w:t>)</w:t>
      </w:r>
    </w:p>
    <w:p w14:paraId="3583A5F5" w14:textId="067F412C" w:rsidR="006C4348" w:rsidRDefault="006C4348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5AF3E78F" w14:textId="77777777" w:rsidR="008B2298" w:rsidRDefault="008B2298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6B75488B" w:rsidR="00D841D9" w:rsidRPr="008B229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677A6" w:rsidRPr="008B2298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0D6CE421" w:rsidR="00D841D9" w:rsidRPr="008B229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Telefon:</w:t>
      </w:r>
      <w:r w:rsidR="003677A6" w:rsidRPr="008B2298">
        <w:rPr>
          <w:rFonts w:ascii="Arial" w:hAnsi="Arial" w:cs="Arial"/>
          <w:sz w:val="24"/>
          <w:szCs w:val="24"/>
        </w:rPr>
        <w:t xml:space="preserve"> 585 508 405</w:t>
      </w:r>
    </w:p>
    <w:p w14:paraId="34E549FB" w14:textId="69865493" w:rsidR="008B2298" w:rsidRPr="008B229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3677A6" w:rsidRPr="008B2298">
          <w:rPr>
            <w:rStyle w:val="Hypertextovodkaz"/>
            <w:rFonts w:ascii="Arial" w:hAnsi="Arial" w:cs="Arial"/>
            <w:color w:val="auto"/>
            <w:sz w:val="24"/>
            <w:szCs w:val="24"/>
          </w:rPr>
          <w:t>j.breskovcova@olkraj.cz</w:t>
        </w:r>
      </w:hyperlink>
    </w:p>
    <w:p w14:paraId="37973473" w14:textId="04F1A1A0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4D2255B" w14:textId="11AF03A0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Jméno administrátora: Mgr. Lucie Michalová</w:t>
      </w:r>
    </w:p>
    <w:p w14:paraId="022ABE63" w14:textId="6D68617C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Telefon: 585 508 395</w:t>
      </w:r>
    </w:p>
    <w:p w14:paraId="6FDE30DC" w14:textId="238D131E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E-mail: l.michalova@olkraj.cz</w:t>
      </w:r>
    </w:p>
    <w:p w14:paraId="5D7CCCFB" w14:textId="77777777" w:rsidR="003677A6" w:rsidRPr="008B2298" w:rsidRDefault="003677A6" w:rsidP="00691685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61CA406" w14:textId="76F08558" w:rsidR="00EC5A06" w:rsidRPr="008B2298" w:rsidRDefault="00EC5A06" w:rsidP="00EC5A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B2298">
        <w:rPr>
          <w:rFonts w:ascii="Arial" w:hAnsi="Arial" w:cs="Arial"/>
          <w:b/>
          <w:bCs/>
          <w:sz w:val="26"/>
          <w:szCs w:val="26"/>
        </w:rPr>
        <w:t xml:space="preserve">Důvod, obecný účel dotačního programu </w:t>
      </w:r>
    </w:p>
    <w:p w14:paraId="03CD41E4" w14:textId="77777777" w:rsidR="00EC5A06" w:rsidRPr="008B2298" w:rsidRDefault="00EC5A06" w:rsidP="00EC5A06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DA8230A" w14:textId="4AD4FD3E" w:rsidR="00EC5A06" w:rsidRPr="008B2298" w:rsidRDefault="00EC5A06" w:rsidP="003F78F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Důvodem</w:t>
      </w:r>
      <w:r w:rsidRPr="008B2298">
        <w:rPr>
          <w:rFonts w:ascii="Arial" w:hAnsi="Arial" w:cs="Arial"/>
          <w:sz w:val="24"/>
          <w:szCs w:val="24"/>
        </w:rPr>
        <w:t xml:space="preserve"> vyhlášení dotačního programu</w:t>
      </w:r>
      <w:r w:rsidR="004B645D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je podpora potřeb občanů kraje při mimořádných, neočekávaných událostech na vodohospodářské infrastruktuře vodovodů a kanalizací pro veřejnou potřebu a při mimořádných, neočekávaných událostech na vodohospodářské infrastruktuře a vodních dílech při povodňových situacích. </w:t>
      </w:r>
    </w:p>
    <w:p w14:paraId="733E1C42" w14:textId="77777777" w:rsidR="00EC5A06" w:rsidRPr="008B2298" w:rsidRDefault="00EC5A06" w:rsidP="008B2298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7EA79EEA" w14:textId="2B2DC2DA" w:rsidR="004B645D" w:rsidRPr="008B2298" w:rsidRDefault="00EC5A06" w:rsidP="008B22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Obecným účelem</w:t>
      </w:r>
      <w:r w:rsidRPr="008B2298">
        <w:rPr>
          <w:rFonts w:ascii="Arial" w:hAnsi="Arial" w:cs="Arial"/>
          <w:sz w:val="24"/>
          <w:szCs w:val="24"/>
        </w:rPr>
        <w:t xml:space="preserve"> vyhlášeného dotačního programu je podpora </w:t>
      </w:r>
      <w:r w:rsidR="004B645D" w:rsidRPr="008B2298">
        <w:rPr>
          <w:rFonts w:ascii="Arial" w:hAnsi="Arial" w:cs="Arial"/>
          <w:sz w:val="24"/>
          <w:szCs w:val="24"/>
        </w:rPr>
        <w:t xml:space="preserve">  realizace opatření k odstranění havárií a mimořádných situací vzniklých </w:t>
      </w:r>
      <w:r w:rsidR="004B645D" w:rsidRPr="008B2298">
        <w:rPr>
          <w:rFonts w:ascii="Arial" w:hAnsi="Arial" w:cs="Arial"/>
          <w:sz w:val="24"/>
          <w:szCs w:val="24"/>
        </w:rPr>
        <w:br/>
        <w:t xml:space="preserve">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platné legislativě nebo k nedostatečnému odvádění odpadních vod včetně odstraňování znečištění </w:t>
      </w:r>
      <w:r w:rsidR="004B645D" w:rsidRPr="008B2298">
        <w:rPr>
          <w:rFonts w:ascii="Arial" w:hAnsi="Arial" w:cs="Arial"/>
          <w:sz w:val="24"/>
          <w:szCs w:val="24"/>
        </w:rPr>
        <w:br/>
        <w:t xml:space="preserve">a hrozí zhoršení kvality povrchových či podzemních vod. Dále podpora realizace opatření k 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</w:t>
      </w:r>
      <w:r w:rsidR="004B645D" w:rsidRPr="008B2298">
        <w:rPr>
          <w:rFonts w:ascii="Arial" w:hAnsi="Arial" w:cs="Arial"/>
          <w:sz w:val="24"/>
          <w:szCs w:val="24"/>
        </w:rPr>
        <w:br/>
        <w:t>a majetek obce nebo jeho obyvatel.</w:t>
      </w:r>
    </w:p>
    <w:p w14:paraId="0203B1CD" w14:textId="6EB8B744" w:rsidR="00816FC3" w:rsidRPr="008B2298" w:rsidRDefault="00816FC3" w:rsidP="008B2298">
      <w:pPr>
        <w:pStyle w:val="Odstavecseseznamem"/>
        <w:ind w:left="851" w:firstLine="0"/>
        <w:contextualSpacing w:val="0"/>
        <w:jc w:val="left"/>
        <w:rPr>
          <w:rFonts w:ascii="Arial" w:hAnsi="Arial" w:cs="Arial"/>
          <w:sz w:val="32"/>
          <w:szCs w:val="32"/>
        </w:rPr>
      </w:pPr>
    </w:p>
    <w:p w14:paraId="4846E125" w14:textId="680BE894" w:rsidR="00691685" w:rsidRPr="008B229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trike/>
          <w:sz w:val="26"/>
          <w:szCs w:val="26"/>
        </w:rPr>
      </w:pPr>
      <w:bookmarkStart w:id="1" w:name="okruhŽadatelů"/>
      <w:bookmarkEnd w:id="1"/>
      <w:r w:rsidRPr="008B229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8B229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8B229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8B229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8B2298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8B229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849544F" w:rsidR="00F56E1F" w:rsidRPr="008B229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8B2298">
        <w:rPr>
          <w:rFonts w:ascii="Arial" w:hAnsi="Arial" w:cs="Arial"/>
          <w:b/>
          <w:sz w:val="24"/>
          <w:szCs w:val="24"/>
        </w:rPr>
        <w:t xml:space="preserve"> osoba</w:t>
      </w:r>
      <w:r w:rsidRPr="008B229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B229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8B2298">
        <w:rPr>
          <w:rFonts w:ascii="Arial" w:hAnsi="Arial" w:cs="Arial"/>
          <w:b/>
          <w:sz w:val="24"/>
          <w:szCs w:val="24"/>
        </w:rPr>
        <w:t>P</w:t>
      </w:r>
      <w:r w:rsidRPr="008B2298">
        <w:rPr>
          <w:rFonts w:ascii="Arial" w:hAnsi="Arial" w:cs="Arial"/>
          <w:b/>
          <w:sz w:val="24"/>
          <w:szCs w:val="24"/>
        </w:rPr>
        <w:t xml:space="preserve">ravidlech 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0A9CB43E" w:rsidR="000A57CD" w:rsidRDefault="000A57CD" w:rsidP="008B229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</w:t>
      </w:r>
      <w:r w:rsidR="001C3254">
        <w:rPr>
          <w:rFonts w:ascii="Arial" w:hAnsi="Arial" w:cs="Arial"/>
          <w:sz w:val="24"/>
          <w:szCs w:val="24"/>
        </w:rPr>
        <w:t xml:space="preserve"> </w:t>
      </w:r>
      <w:r w:rsidR="001C3254" w:rsidRPr="008B2298">
        <w:rPr>
          <w:rFonts w:ascii="Arial" w:hAnsi="Arial" w:cs="Arial"/>
          <w:sz w:val="24"/>
          <w:szCs w:val="24"/>
        </w:rPr>
        <w:t>právnická osoba, kterou je obec v územním obvodu Olomouckého kraje o velikosti do 2 000 trvale bydlících obyvatel nebo i větší, pokud se akce realizuje v místní části o velikosti do 2 000 trvale bydlících obyvatel a celkový počet trvale bydlících obyvatel obce je menší než 3 000. Počet obyvatel obce se určuje podle statistiky počtu obyvatel Ministerstva vnitra ke dni 1. 1. 2023.</w:t>
      </w:r>
      <w:r w:rsidRPr="008B2298">
        <w:rPr>
          <w:rFonts w:ascii="Arial" w:hAnsi="Arial" w:cs="Arial"/>
          <w:sz w:val="24"/>
          <w:szCs w:val="24"/>
        </w:rPr>
        <w:t xml:space="preserve"> </w:t>
      </w:r>
    </w:p>
    <w:p w14:paraId="1283305B" w14:textId="1697A995" w:rsidR="00BD553A" w:rsidRDefault="00BD553A" w:rsidP="008B2298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53516B1B" w14:textId="10AF0A58" w:rsidR="00712126" w:rsidRDefault="00712126" w:rsidP="008B2298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262C83DF" w14:textId="77777777" w:rsidR="00712126" w:rsidRDefault="00712126" w:rsidP="008B2298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06A525A6" w:rsidR="00BF6A09" w:rsidRPr="008B2298" w:rsidRDefault="00691685" w:rsidP="008B229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 xml:space="preserve">Na dotační program </w:t>
      </w:r>
      <w:r w:rsidR="00154A08" w:rsidRPr="008B2298">
        <w:rPr>
          <w:rFonts w:ascii="Arial" w:hAnsi="Arial" w:cs="Arial"/>
          <w:sz w:val="24"/>
          <w:szCs w:val="24"/>
        </w:rPr>
        <w:t xml:space="preserve">03_02 </w:t>
      </w:r>
      <w:r w:rsidRPr="008B2298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C6605B">
        <w:rPr>
          <w:rFonts w:ascii="Arial" w:hAnsi="Arial" w:cs="Arial"/>
          <w:sz w:val="24"/>
          <w:szCs w:val="24"/>
        </w:rPr>
        <w:t>5</w:t>
      </w:r>
      <w:r w:rsidR="001C3254" w:rsidRPr="008B2298">
        <w:rPr>
          <w:rFonts w:ascii="Arial" w:hAnsi="Arial" w:cs="Arial"/>
          <w:sz w:val="24"/>
          <w:szCs w:val="24"/>
        </w:rPr>
        <w:t> 000 000</w:t>
      </w:r>
      <w:r w:rsidR="007D19A6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>Kč</w:t>
      </w:r>
      <w:r w:rsidR="00427DFE" w:rsidRPr="008B2298">
        <w:rPr>
          <w:rFonts w:ascii="Arial" w:hAnsi="Arial" w:cs="Arial"/>
          <w:sz w:val="24"/>
          <w:szCs w:val="24"/>
        </w:rPr>
        <w:t xml:space="preserve">. </w:t>
      </w:r>
    </w:p>
    <w:p w14:paraId="73C98236" w14:textId="77777777" w:rsidR="00712126" w:rsidRPr="00712126" w:rsidRDefault="00712126" w:rsidP="00712126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color w:val="0000FF"/>
          <w:sz w:val="26"/>
          <w:szCs w:val="26"/>
        </w:rPr>
      </w:pPr>
    </w:p>
    <w:p w14:paraId="1719257F" w14:textId="3EAFA7EA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6D68BEE" w:rsidR="00691685" w:rsidRPr="008B229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8B2298">
        <w:rPr>
          <w:rFonts w:ascii="Arial" w:hAnsi="Arial" w:cs="Arial"/>
          <w:sz w:val="24"/>
          <w:szCs w:val="24"/>
        </w:rPr>
        <w:t xml:space="preserve">dotace na jednu </w:t>
      </w:r>
      <w:r w:rsidR="008B2298" w:rsidRPr="008B2298">
        <w:rPr>
          <w:rFonts w:ascii="Arial" w:hAnsi="Arial" w:cs="Arial"/>
          <w:sz w:val="24"/>
          <w:szCs w:val="24"/>
        </w:rPr>
        <w:t>akci</w:t>
      </w:r>
      <w:r w:rsidRPr="008B2298">
        <w:rPr>
          <w:rFonts w:ascii="Arial" w:hAnsi="Arial" w:cs="Arial"/>
          <w:sz w:val="24"/>
          <w:szCs w:val="24"/>
        </w:rPr>
        <w:t xml:space="preserve"> činí </w:t>
      </w:r>
      <w:r w:rsidR="001C3254" w:rsidRPr="008B2298">
        <w:rPr>
          <w:rFonts w:ascii="Arial" w:hAnsi="Arial" w:cs="Arial"/>
          <w:sz w:val="24"/>
          <w:szCs w:val="24"/>
        </w:rPr>
        <w:t>100 000</w:t>
      </w:r>
      <w:r w:rsidR="009A4E6F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8B229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49ACFC5" w:rsidR="00691685" w:rsidRPr="008B229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M</w:t>
      </w:r>
      <w:r w:rsidRPr="008B229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8B2298">
        <w:rPr>
          <w:rFonts w:ascii="Arial" w:hAnsi="Arial" w:cs="Arial"/>
          <w:sz w:val="24"/>
          <w:szCs w:val="24"/>
        </w:rPr>
        <w:t xml:space="preserve">dotace na jednu </w:t>
      </w:r>
      <w:r w:rsidR="008B2298" w:rsidRPr="008B2298">
        <w:rPr>
          <w:rFonts w:ascii="Arial" w:hAnsi="Arial" w:cs="Arial"/>
          <w:sz w:val="24"/>
          <w:szCs w:val="24"/>
        </w:rPr>
        <w:t>akci</w:t>
      </w:r>
      <w:r w:rsidRPr="008B2298">
        <w:rPr>
          <w:rFonts w:ascii="Arial" w:hAnsi="Arial" w:cs="Arial"/>
          <w:sz w:val="24"/>
          <w:szCs w:val="24"/>
        </w:rPr>
        <w:t xml:space="preserve"> činí </w:t>
      </w:r>
      <w:r w:rsidR="001C3254" w:rsidRPr="008B2298">
        <w:rPr>
          <w:rFonts w:ascii="Arial" w:hAnsi="Arial" w:cs="Arial"/>
          <w:sz w:val="24"/>
          <w:szCs w:val="24"/>
        </w:rPr>
        <w:t>500 000</w:t>
      </w:r>
      <w:r w:rsidR="009A4E6F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Kč. </w:t>
      </w:r>
    </w:p>
    <w:p w14:paraId="05F38A29" w14:textId="41B84572" w:rsidR="008A573C" w:rsidRPr="008B229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Požadovaná výše dotace musí být uvedena v celých korunách.</w:t>
      </w:r>
      <w:r w:rsidR="001B7215" w:rsidRPr="008B2298">
        <w:rPr>
          <w:rFonts w:ascii="Arial" w:hAnsi="Arial" w:cs="Arial"/>
          <w:sz w:val="24"/>
          <w:szCs w:val="24"/>
        </w:rPr>
        <w:t xml:space="preserve"> </w:t>
      </w:r>
      <w:bookmarkStart w:id="2" w:name="tentýžÚčelAkce"/>
      <w:bookmarkEnd w:id="2"/>
    </w:p>
    <w:p w14:paraId="6B07EBAF" w14:textId="6DDF2881" w:rsidR="00783763" w:rsidRPr="008B229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 xml:space="preserve">Žadatel </w:t>
      </w:r>
      <w:r w:rsidRPr="008B2298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8B2298">
        <w:rPr>
          <w:rFonts w:ascii="Arial" w:hAnsi="Arial" w:cs="Arial"/>
          <w:b/>
          <w:sz w:val="24"/>
          <w:szCs w:val="24"/>
        </w:rPr>
        <w:t xml:space="preserve"> </w:t>
      </w:r>
      <w:r w:rsidRPr="008B2298">
        <w:rPr>
          <w:rFonts w:ascii="Arial" w:hAnsi="Arial" w:cs="Arial"/>
          <w:b/>
          <w:sz w:val="24"/>
          <w:szCs w:val="24"/>
        </w:rPr>
        <w:t>dotačního programu</w:t>
      </w:r>
      <w:r w:rsidR="00304170" w:rsidRPr="008B2298">
        <w:rPr>
          <w:rFonts w:ascii="Arial" w:hAnsi="Arial" w:cs="Arial"/>
          <w:b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podat </w:t>
      </w:r>
      <w:r w:rsidRPr="008B2298">
        <w:rPr>
          <w:rFonts w:ascii="Arial" w:hAnsi="Arial" w:cs="Arial"/>
          <w:b/>
          <w:sz w:val="24"/>
          <w:szCs w:val="24"/>
        </w:rPr>
        <w:t xml:space="preserve">více žádostí </w:t>
      </w:r>
      <w:r w:rsidRPr="008B2298">
        <w:rPr>
          <w:rFonts w:ascii="Arial" w:hAnsi="Arial" w:cs="Arial"/>
          <w:sz w:val="24"/>
          <w:szCs w:val="24"/>
        </w:rPr>
        <w:t xml:space="preserve">na </w:t>
      </w:r>
      <w:r w:rsidRPr="008B2298">
        <w:rPr>
          <w:rFonts w:ascii="Arial" w:hAnsi="Arial" w:cs="Arial"/>
          <w:b/>
          <w:sz w:val="24"/>
          <w:szCs w:val="24"/>
        </w:rPr>
        <w:t>různé</w:t>
      </w:r>
      <w:r w:rsidR="008B2298" w:rsidRPr="008B2298">
        <w:rPr>
          <w:rFonts w:ascii="Arial" w:hAnsi="Arial" w:cs="Arial"/>
          <w:sz w:val="24"/>
          <w:szCs w:val="24"/>
        </w:rPr>
        <w:t xml:space="preserve"> akce.</w:t>
      </w:r>
      <w:r w:rsidRPr="008B2298">
        <w:rPr>
          <w:rFonts w:ascii="Arial" w:hAnsi="Arial" w:cs="Arial"/>
          <w:sz w:val="24"/>
          <w:szCs w:val="24"/>
        </w:rPr>
        <w:t xml:space="preserve"> Na</w:t>
      </w:r>
      <w:r w:rsidRPr="008B2298">
        <w:rPr>
          <w:rFonts w:ascii="Arial" w:hAnsi="Arial" w:cs="Arial"/>
          <w:b/>
          <w:sz w:val="24"/>
          <w:szCs w:val="24"/>
        </w:rPr>
        <w:t xml:space="preserve"> tutéž </w:t>
      </w:r>
      <w:r w:rsidR="008B2298" w:rsidRPr="008B2298">
        <w:rPr>
          <w:rFonts w:ascii="Arial" w:hAnsi="Arial" w:cs="Arial"/>
          <w:sz w:val="24"/>
          <w:szCs w:val="24"/>
        </w:rPr>
        <w:t>akci</w:t>
      </w:r>
      <w:r w:rsidRPr="008B2298">
        <w:rPr>
          <w:rFonts w:ascii="Arial" w:hAnsi="Arial" w:cs="Arial"/>
          <w:sz w:val="24"/>
          <w:szCs w:val="24"/>
        </w:rPr>
        <w:t xml:space="preserve"> v rámci</w:t>
      </w:r>
      <w:r w:rsidR="008B2298" w:rsidRPr="008B2298">
        <w:rPr>
          <w:rFonts w:ascii="Arial" w:hAnsi="Arial" w:cs="Arial"/>
          <w:sz w:val="24"/>
          <w:szCs w:val="24"/>
        </w:rPr>
        <w:t xml:space="preserve"> vyhlášeného dotačního programu</w:t>
      </w:r>
      <w:r w:rsidR="00304170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b/>
          <w:sz w:val="24"/>
          <w:szCs w:val="24"/>
        </w:rPr>
        <w:t>však</w:t>
      </w:r>
      <w:r w:rsidRPr="008B2298">
        <w:rPr>
          <w:rFonts w:ascii="Arial" w:hAnsi="Arial" w:cs="Arial"/>
          <w:sz w:val="24"/>
          <w:szCs w:val="24"/>
        </w:rPr>
        <w:t xml:space="preserve"> žadatel může podat </w:t>
      </w:r>
      <w:r w:rsidRPr="008B2298">
        <w:rPr>
          <w:rFonts w:ascii="Arial" w:hAnsi="Arial" w:cs="Arial"/>
          <w:b/>
          <w:sz w:val="24"/>
          <w:szCs w:val="24"/>
        </w:rPr>
        <w:t>pouze jednu žádost</w:t>
      </w:r>
      <w:r w:rsidR="005500EE" w:rsidRPr="008B2298">
        <w:rPr>
          <w:rFonts w:ascii="Arial" w:hAnsi="Arial" w:cs="Arial"/>
          <w:sz w:val="24"/>
          <w:szCs w:val="24"/>
        </w:rPr>
        <w:t xml:space="preserve"> o </w:t>
      </w:r>
      <w:r w:rsidR="00BA36B7" w:rsidRPr="008B2298">
        <w:rPr>
          <w:rFonts w:ascii="Arial" w:hAnsi="Arial" w:cs="Arial"/>
          <w:sz w:val="24"/>
          <w:szCs w:val="24"/>
        </w:rPr>
        <w:t>poskytnutí dotace v </w:t>
      </w:r>
      <w:r w:rsidRPr="008B2298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</w:t>
      </w:r>
      <w:r w:rsidR="00304170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8B2298">
        <w:rPr>
          <w:rFonts w:ascii="Arial" w:hAnsi="Arial" w:cs="Arial"/>
          <w:sz w:val="24"/>
          <w:szCs w:val="24"/>
        </w:rPr>
        <w:t>vyřazena z dalšího posuzování a </w:t>
      </w:r>
      <w:r w:rsidRPr="008B2298">
        <w:rPr>
          <w:rFonts w:ascii="Arial" w:hAnsi="Arial" w:cs="Arial"/>
          <w:sz w:val="24"/>
          <w:szCs w:val="24"/>
        </w:rPr>
        <w:t>žadatel bude o této skutečnosti informován.</w:t>
      </w:r>
    </w:p>
    <w:p w14:paraId="344E9E4B" w14:textId="77777777" w:rsidR="00EE49D2" w:rsidRPr="008B2298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8B229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8B229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FC5B4C8" w:rsidR="006347E3" w:rsidRPr="008B229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D</w:t>
      </w:r>
      <w:r w:rsidR="00691685" w:rsidRPr="008B2298">
        <w:rPr>
          <w:rFonts w:ascii="Arial" w:hAnsi="Arial" w:cs="Arial"/>
          <w:sz w:val="24"/>
          <w:szCs w:val="24"/>
        </w:rPr>
        <w:t>otace bude žadateli poskytnuta</w:t>
      </w:r>
      <w:r w:rsidR="00691685" w:rsidRPr="008B229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8B2298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8B2298">
        <w:rPr>
          <w:rFonts w:ascii="Arial" w:hAnsi="Arial" w:cs="Arial"/>
          <w:sz w:val="24"/>
          <w:szCs w:val="24"/>
        </w:rPr>
        <w:t xml:space="preserve">na základě </w:t>
      </w:r>
      <w:r w:rsidR="001B7EBF" w:rsidRPr="008B2298">
        <w:rPr>
          <w:rFonts w:ascii="Arial" w:hAnsi="Arial" w:cs="Arial"/>
          <w:sz w:val="24"/>
          <w:szCs w:val="24"/>
        </w:rPr>
        <w:br/>
      </w:r>
      <w:r w:rsidR="00691685" w:rsidRPr="008B2298">
        <w:rPr>
          <w:rFonts w:ascii="Arial" w:hAnsi="Arial" w:cs="Arial"/>
          <w:sz w:val="24"/>
          <w:szCs w:val="24"/>
        </w:rPr>
        <w:t xml:space="preserve">a za podmínek </w:t>
      </w:r>
      <w:r w:rsidR="00F40FEB" w:rsidRPr="008B229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8B2298">
        <w:rPr>
          <w:rFonts w:ascii="Arial" w:hAnsi="Arial" w:cs="Arial"/>
          <w:sz w:val="24"/>
          <w:szCs w:val="24"/>
        </w:rPr>
        <w:t xml:space="preserve">ve </w:t>
      </w:r>
      <w:r w:rsidR="0077032A" w:rsidRPr="008B2298">
        <w:rPr>
          <w:rFonts w:ascii="Arial" w:hAnsi="Arial" w:cs="Arial"/>
          <w:sz w:val="24"/>
          <w:szCs w:val="24"/>
        </w:rPr>
        <w:t>s</w:t>
      </w:r>
      <w:r w:rsidR="00A163A9" w:rsidRPr="008B2298">
        <w:rPr>
          <w:rFonts w:ascii="Arial" w:hAnsi="Arial" w:cs="Arial"/>
          <w:sz w:val="24"/>
          <w:szCs w:val="24"/>
        </w:rPr>
        <w:t>mlouvě</w:t>
      </w:r>
      <w:r w:rsidR="00515C83" w:rsidRPr="008B2298">
        <w:rPr>
          <w:rFonts w:ascii="Arial" w:hAnsi="Arial" w:cs="Arial"/>
          <w:sz w:val="24"/>
          <w:szCs w:val="24"/>
        </w:rPr>
        <w:t xml:space="preserve"> </w:t>
      </w:r>
      <w:r w:rsidR="0077032A" w:rsidRPr="008B2298">
        <w:rPr>
          <w:rFonts w:ascii="Arial" w:hAnsi="Arial" w:cs="Arial"/>
          <w:sz w:val="24"/>
          <w:szCs w:val="24"/>
        </w:rPr>
        <w:t>o poskytnutí dotace</w:t>
      </w:r>
      <w:r w:rsidR="00A17833" w:rsidRPr="008B2298">
        <w:rPr>
          <w:rFonts w:ascii="Arial" w:hAnsi="Arial" w:cs="Arial"/>
          <w:sz w:val="24"/>
          <w:szCs w:val="24"/>
        </w:rPr>
        <w:t xml:space="preserve"> uzavřené</w:t>
      </w:r>
      <w:r w:rsidR="003B18BD" w:rsidRPr="008B2298">
        <w:rPr>
          <w:rFonts w:ascii="Arial" w:hAnsi="Arial" w:cs="Arial"/>
          <w:sz w:val="24"/>
          <w:szCs w:val="24"/>
        </w:rPr>
        <w:t xml:space="preserve"> podle</w:t>
      </w:r>
      <w:r w:rsidR="00A17833" w:rsidRPr="008B2298">
        <w:rPr>
          <w:rFonts w:ascii="Arial" w:hAnsi="Arial" w:cs="Arial"/>
          <w:sz w:val="24"/>
          <w:szCs w:val="24"/>
        </w:rPr>
        <w:t xml:space="preserve"> t</w:t>
      </w:r>
      <w:r w:rsidR="00A77AD9" w:rsidRPr="008B2298">
        <w:rPr>
          <w:rFonts w:ascii="Arial" w:hAnsi="Arial" w:cs="Arial"/>
          <w:sz w:val="24"/>
          <w:szCs w:val="24"/>
        </w:rPr>
        <w:t>ěcht</w:t>
      </w:r>
      <w:r w:rsidR="00A17833" w:rsidRPr="008B2298">
        <w:rPr>
          <w:rFonts w:ascii="Arial" w:hAnsi="Arial" w:cs="Arial"/>
          <w:sz w:val="24"/>
          <w:szCs w:val="24"/>
        </w:rPr>
        <w:t xml:space="preserve">o </w:t>
      </w:r>
      <w:r w:rsidR="00A77AD9" w:rsidRPr="008B2298">
        <w:rPr>
          <w:rFonts w:ascii="Arial" w:hAnsi="Arial" w:cs="Arial"/>
          <w:sz w:val="24"/>
          <w:szCs w:val="24"/>
        </w:rPr>
        <w:t>Pravidel (dále jen „Smlouva“)</w:t>
      </w:r>
      <w:r w:rsidR="00A163A9" w:rsidRPr="008B2298">
        <w:rPr>
          <w:rFonts w:ascii="Arial" w:hAnsi="Arial" w:cs="Arial"/>
          <w:sz w:val="24"/>
          <w:szCs w:val="24"/>
        </w:rPr>
        <w:t>.</w:t>
      </w:r>
    </w:p>
    <w:p w14:paraId="0C063362" w14:textId="6312B8CE" w:rsidR="00691685" w:rsidRPr="008B229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D</w:t>
      </w:r>
      <w:r w:rsidR="00691685" w:rsidRPr="008B229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B2298">
        <w:rPr>
          <w:rFonts w:ascii="Arial" w:hAnsi="Arial" w:cs="Arial"/>
          <w:sz w:val="24"/>
          <w:szCs w:val="24"/>
        </w:rPr>
        <w:t>S</w:t>
      </w:r>
      <w:r w:rsidR="00691685" w:rsidRPr="008B229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8B229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B229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B2298">
        <w:rPr>
          <w:rFonts w:ascii="Arial" w:hAnsi="Arial" w:cs="Arial"/>
          <w:sz w:val="24"/>
          <w:szCs w:val="24"/>
        </w:rPr>
        <w:t xml:space="preserve"> z účtu poskytovatele</w:t>
      </w:r>
      <w:r w:rsidR="008B2298" w:rsidRPr="008B2298">
        <w:rPr>
          <w:rFonts w:ascii="Arial" w:hAnsi="Arial" w:cs="Arial"/>
          <w:iCs/>
          <w:sz w:val="24"/>
          <w:szCs w:val="24"/>
        </w:rPr>
        <w:t>.</w:t>
      </w:r>
      <w:r w:rsidR="00FB6C9A" w:rsidRPr="00FB6C9A">
        <w:rPr>
          <w:rFonts w:ascii="Arial" w:hAnsi="Arial" w:cs="Arial"/>
          <w:iCs/>
          <w:sz w:val="24"/>
          <w:szCs w:val="24"/>
        </w:rPr>
        <w:t xml:space="preserve"> </w:t>
      </w:r>
      <w:r w:rsidR="00FB6C9A" w:rsidRPr="006D235B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FB6C9A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FB6C9A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</w:p>
    <w:p w14:paraId="64EDF10B" w14:textId="67844433" w:rsidR="00691685" w:rsidRPr="008B229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Dotaci</w:t>
      </w:r>
      <w:r w:rsidR="00691685" w:rsidRPr="008B2298">
        <w:rPr>
          <w:rFonts w:ascii="Arial" w:hAnsi="Arial" w:cs="Arial"/>
          <w:sz w:val="24"/>
          <w:szCs w:val="24"/>
        </w:rPr>
        <w:t xml:space="preserve"> je možn</w:t>
      </w:r>
      <w:r w:rsidRPr="008B2298">
        <w:rPr>
          <w:rFonts w:ascii="Arial" w:hAnsi="Arial" w:cs="Arial"/>
          <w:sz w:val="24"/>
          <w:szCs w:val="24"/>
        </w:rPr>
        <w:t>o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FA105F" w:rsidRPr="008B2298">
        <w:rPr>
          <w:rFonts w:ascii="Arial" w:hAnsi="Arial" w:cs="Arial"/>
          <w:sz w:val="24"/>
          <w:szCs w:val="24"/>
        </w:rPr>
        <w:t xml:space="preserve">použít </w:t>
      </w:r>
      <w:r w:rsidR="00691685" w:rsidRPr="008B2298">
        <w:rPr>
          <w:rFonts w:ascii="Arial" w:hAnsi="Arial" w:cs="Arial"/>
          <w:sz w:val="24"/>
          <w:szCs w:val="24"/>
        </w:rPr>
        <w:t xml:space="preserve">na </w:t>
      </w:r>
      <w:r w:rsidR="00677DE8" w:rsidRPr="008B2298">
        <w:rPr>
          <w:rFonts w:ascii="Arial" w:hAnsi="Arial" w:cs="Arial"/>
          <w:sz w:val="24"/>
          <w:szCs w:val="24"/>
        </w:rPr>
        <w:t xml:space="preserve">úhradu </w:t>
      </w:r>
      <w:r w:rsidR="00691685" w:rsidRPr="008B2298">
        <w:rPr>
          <w:rFonts w:ascii="Arial" w:hAnsi="Arial" w:cs="Arial"/>
          <w:sz w:val="24"/>
          <w:szCs w:val="24"/>
        </w:rPr>
        <w:t>uznateln</w:t>
      </w:r>
      <w:r w:rsidR="00677DE8" w:rsidRPr="008B2298">
        <w:rPr>
          <w:rFonts w:ascii="Arial" w:hAnsi="Arial" w:cs="Arial"/>
          <w:sz w:val="24"/>
          <w:szCs w:val="24"/>
        </w:rPr>
        <w:t>ých</w:t>
      </w:r>
      <w:r w:rsidR="00691685" w:rsidRPr="008B2298">
        <w:rPr>
          <w:rFonts w:ascii="Arial" w:hAnsi="Arial" w:cs="Arial"/>
          <w:sz w:val="24"/>
          <w:szCs w:val="24"/>
        </w:rPr>
        <w:t xml:space="preserve"> výdaj</w:t>
      </w:r>
      <w:r w:rsidR="00677DE8" w:rsidRPr="008B2298">
        <w:rPr>
          <w:rFonts w:ascii="Arial" w:hAnsi="Arial" w:cs="Arial"/>
          <w:sz w:val="24"/>
          <w:szCs w:val="24"/>
        </w:rPr>
        <w:t>ů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58171B" w:rsidRPr="008B2298">
        <w:rPr>
          <w:rFonts w:ascii="Arial" w:hAnsi="Arial" w:cs="Arial"/>
          <w:sz w:val="24"/>
          <w:szCs w:val="24"/>
        </w:rPr>
        <w:t>akce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361B29" w:rsidRPr="008B2298">
        <w:rPr>
          <w:rFonts w:ascii="Arial" w:hAnsi="Arial" w:cs="Arial"/>
          <w:sz w:val="24"/>
          <w:szCs w:val="24"/>
        </w:rPr>
        <w:t>výslovně uveden</w:t>
      </w:r>
      <w:r w:rsidR="00677DE8" w:rsidRPr="008B2298">
        <w:rPr>
          <w:rFonts w:ascii="Arial" w:hAnsi="Arial" w:cs="Arial"/>
          <w:sz w:val="24"/>
          <w:szCs w:val="24"/>
        </w:rPr>
        <w:t>ých</w:t>
      </w:r>
      <w:r w:rsidR="00361B29" w:rsidRPr="008B2298">
        <w:rPr>
          <w:rFonts w:ascii="Arial" w:hAnsi="Arial" w:cs="Arial"/>
          <w:sz w:val="24"/>
          <w:szCs w:val="24"/>
        </w:rPr>
        <w:t xml:space="preserve"> ve </w:t>
      </w:r>
      <w:r w:rsidR="00677DE8" w:rsidRPr="008B2298">
        <w:rPr>
          <w:rFonts w:ascii="Arial" w:hAnsi="Arial" w:cs="Arial"/>
          <w:sz w:val="24"/>
          <w:szCs w:val="24"/>
        </w:rPr>
        <w:t>S</w:t>
      </w:r>
      <w:r w:rsidR="00361B29" w:rsidRPr="008B2298">
        <w:rPr>
          <w:rFonts w:ascii="Arial" w:hAnsi="Arial" w:cs="Arial"/>
          <w:sz w:val="24"/>
          <w:szCs w:val="24"/>
        </w:rPr>
        <w:t>mlouvě</w:t>
      </w:r>
      <w:r w:rsidR="00677DE8" w:rsidRPr="008B2298">
        <w:rPr>
          <w:rFonts w:ascii="Arial" w:hAnsi="Arial" w:cs="Arial"/>
          <w:sz w:val="24"/>
          <w:szCs w:val="24"/>
        </w:rPr>
        <w:t xml:space="preserve"> a</w:t>
      </w:r>
      <w:r w:rsidR="00361B29" w:rsidRPr="008B2298">
        <w:rPr>
          <w:rFonts w:ascii="Arial" w:hAnsi="Arial" w:cs="Arial"/>
          <w:sz w:val="24"/>
          <w:szCs w:val="24"/>
        </w:rPr>
        <w:t xml:space="preserve"> </w:t>
      </w:r>
      <w:r w:rsidR="00691685" w:rsidRPr="008B2298">
        <w:rPr>
          <w:rFonts w:ascii="Arial" w:hAnsi="Arial" w:cs="Arial"/>
          <w:sz w:val="24"/>
          <w:szCs w:val="24"/>
        </w:rPr>
        <w:t>vznikl</w:t>
      </w:r>
      <w:r w:rsidR="00677DE8" w:rsidRPr="008B2298">
        <w:rPr>
          <w:rFonts w:ascii="Arial" w:hAnsi="Arial" w:cs="Arial"/>
          <w:sz w:val="24"/>
          <w:szCs w:val="24"/>
        </w:rPr>
        <w:t>ých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953259" w:rsidRPr="008B229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8B2298">
        <w:rPr>
          <w:rFonts w:ascii="Arial" w:hAnsi="Arial" w:cs="Arial"/>
          <w:sz w:val="24"/>
          <w:szCs w:val="24"/>
        </w:rPr>
        <w:t>akce</w:t>
      </w:r>
      <w:r w:rsidR="00953259" w:rsidRPr="009C65D6">
        <w:rPr>
          <w:rFonts w:ascii="Arial" w:hAnsi="Arial" w:cs="Arial"/>
          <w:sz w:val="24"/>
          <w:szCs w:val="24"/>
        </w:rPr>
        <w:t xml:space="preserve"> </w:t>
      </w:r>
      <w:r w:rsidR="00691685" w:rsidRPr="008B2298">
        <w:rPr>
          <w:rFonts w:ascii="Arial" w:hAnsi="Arial" w:cs="Arial"/>
          <w:sz w:val="24"/>
          <w:szCs w:val="24"/>
        </w:rPr>
        <w:t>od </w:t>
      </w:r>
      <w:r w:rsidR="009C65D6">
        <w:rPr>
          <w:rFonts w:ascii="Arial" w:hAnsi="Arial" w:cs="Arial"/>
          <w:sz w:val="24"/>
          <w:szCs w:val="24"/>
        </w:rPr>
        <w:t>1.</w:t>
      </w:r>
      <w:r w:rsidR="009C65D6">
        <w:t> </w:t>
      </w:r>
      <w:r w:rsidR="009C65D6">
        <w:rPr>
          <w:rFonts w:ascii="Arial" w:hAnsi="Arial" w:cs="Arial"/>
          <w:sz w:val="24"/>
          <w:szCs w:val="24"/>
        </w:rPr>
        <w:t>1. </w:t>
      </w:r>
      <w:r w:rsidR="00C97A88" w:rsidRPr="008B2298">
        <w:rPr>
          <w:rFonts w:ascii="Arial" w:hAnsi="Arial" w:cs="Arial"/>
          <w:sz w:val="24"/>
          <w:szCs w:val="24"/>
        </w:rPr>
        <w:t>2023</w:t>
      </w:r>
      <w:r w:rsidR="00691685" w:rsidRPr="008B2298">
        <w:rPr>
          <w:rFonts w:ascii="Arial" w:hAnsi="Arial" w:cs="Arial"/>
          <w:sz w:val="24"/>
          <w:szCs w:val="24"/>
        </w:rPr>
        <w:t xml:space="preserve"> do </w:t>
      </w:r>
      <w:r w:rsidR="00C97A88" w:rsidRPr="008B2298">
        <w:rPr>
          <w:rFonts w:ascii="Arial" w:hAnsi="Arial" w:cs="Arial"/>
          <w:sz w:val="24"/>
          <w:szCs w:val="24"/>
        </w:rPr>
        <w:t>31. 12. 2023</w:t>
      </w:r>
      <w:r w:rsidR="00691685" w:rsidRPr="008B2298">
        <w:rPr>
          <w:rFonts w:ascii="Arial" w:hAnsi="Arial" w:cs="Arial"/>
          <w:sz w:val="24"/>
          <w:szCs w:val="24"/>
        </w:rPr>
        <w:t>.</w:t>
      </w:r>
      <w:r w:rsidR="00DE3FC9" w:rsidRPr="008B2298">
        <w:rPr>
          <w:rFonts w:ascii="Arial" w:hAnsi="Arial" w:cs="Arial"/>
          <w:sz w:val="24"/>
          <w:szCs w:val="24"/>
        </w:rPr>
        <w:t xml:space="preserve"> </w:t>
      </w:r>
      <w:r w:rsidR="00402AA0" w:rsidRPr="008B229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8B2298">
        <w:rPr>
          <w:rFonts w:ascii="Arial" w:hAnsi="Arial" w:cs="Arial"/>
          <w:sz w:val="24"/>
          <w:szCs w:val="24"/>
        </w:rPr>
        <w:t xml:space="preserve">těchto </w:t>
      </w:r>
      <w:r w:rsidR="008B2298">
        <w:rPr>
          <w:rFonts w:ascii="Arial" w:hAnsi="Arial" w:cs="Arial"/>
          <w:sz w:val="24"/>
          <w:szCs w:val="24"/>
        </w:rPr>
        <w:t xml:space="preserve">uznatelných </w:t>
      </w:r>
      <w:r w:rsidR="00402AA0" w:rsidRPr="008B2298">
        <w:rPr>
          <w:rFonts w:ascii="Arial" w:hAnsi="Arial" w:cs="Arial"/>
          <w:sz w:val="24"/>
          <w:szCs w:val="24"/>
        </w:rPr>
        <w:t xml:space="preserve">výdajů </w:t>
      </w:r>
      <w:r w:rsidR="008B2298" w:rsidRPr="008B2298">
        <w:rPr>
          <w:rFonts w:ascii="Arial" w:hAnsi="Arial" w:cs="Arial"/>
          <w:sz w:val="24"/>
          <w:szCs w:val="24"/>
        </w:rPr>
        <w:t>akce</w:t>
      </w:r>
      <w:r w:rsidR="00402AA0" w:rsidRPr="008B2298">
        <w:rPr>
          <w:rFonts w:ascii="Arial" w:hAnsi="Arial" w:cs="Arial"/>
          <w:sz w:val="24"/>
          <w:szCs w:val="24"/>
        </w:rPr>
        <w:t xml:space="preserve"> </w:t>
      </w:r>
      <w:r w:rsidR="004547F7" w:rsidRPr="008B2298">
        <w:rPr>
          <w:rFonts w:ascii="Arial" w:hAnsi="Arial" w:cs="Arial"/>
          <w:sz w:val="24"/>
          <w:szCs w:val="24"/>
        </w:rPr>
        <w:t xml:space="preserve">nejpozději </w:t>
      </w:r>
      <w:r w:rsidR="001B7EBF" w:rsidRPr="008B2298">
        <w:rPr>
          <w:rFonts w:ascii="Arial" w:hAnsi="Arial" w:cs="Arial"/>
          <w:sz w:val="24"/>
          <w:szCs w:val="24"/>
        </w:rPr>
        <w:br/>
      </w:r>
      <w:r w:rsidR="004547F7" w:rsidRPr="008B2298">
        <w:rPr>
          <w:rFonts w:ascii="Arial" w:hAnsi="Arial" w:cs="Arial"/>
          <w:sz w:val="24"/>
          <w:szCs w:val="24"/>
        </w:rPr>
        <w:t>do</w:t>
      </w:r>
      <w:r w:rsidR="005500EE" w:rsidRPr="008B2298">
        <w:rPr>
          <w:rFonts w:ascii="Arial" w:hAnsi="Arial" w:cs="Arial"/>
          <w:sz w:val="24"/>
          <w:szCs w:val="24"/>
        </w:rPr>
        <w:t> </w:t>
      </w:r>
      <w:r w:rsidR="00C97A88" w:rsidRPr="008B2298">
        <w:rPr>
          <w:rFonts w:ascii="Arial" w:hAnsi="Arial" w:cs="Arial"/>
          <w:sz w:val="24"/>
          <w:szCs w:val="24"/>
        </w:rPr>
        <w:t>31. 12. 2023</w:t>
      </w:r>
      <w:r w:rsidR="00BA36B7" w:rsidRPr="008B2298">
        <w:rPr>
          <w:rFonts w:ascii="Arial" w:hAnsi="Arial" w:cs="Arial"/>
          <w:sz w:val="24"/>
          <w:szCs w:val="24"/>
        </w:rPr>
        <w:t>, není-li ve </w:t>
      </w:r>
      <w:r w:rsidR="00402AA0" w:rsidRPr="008B2298">
        <w:rPr>
          <w:rFonts w:ascii="Arial" w:hAnsi="Arial" w:cs="Arial"/>
          <w:sz w:val="24"/>
          <w:szCs w:val="24"/>
        </w:rPr>
        <w:t>Smlouvě sjednáno jinak</w:t>
      </w:r>
      <w:r w:rsidR="002F1D64" w:rsidRPr="008B2298">
        <w:rPr>
          <w:rFonts w:ascii="Arial" w:hAnsi="Arial" w:cs="Arial"/>
          <w:sz w:val="24"/>
          <w:szCs w:val="24"/>
        </w:rPr>
        <w:t>.</w:t>
      </w:r>
      <w:r w:rsidR="00AA65EC" w:rsidRPr="008B2298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7748E466" w:rsidR="00497734" w:rsidRPr="008B229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8B2298">
        <w:rPr>
          <w:rFonts w:ascii="Arial" w:hAnsi="Arial" w:cs="Arial"/>
          <w:sz w:val="24"/>
          <w:szCs w:val="24"/>
        </w:rPr>
        <w:t> </w:t>
      </w:r>
      <w:r w:rsidRPr="008B2298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74E16C7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7A34C06D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73D3F0B" w:rsidR="00E2572F" w:rsidRPr="00C137F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C137F6">
        <w:rPr>
          <w:rFonts w:ascii="Arial" w:hAnsi="Arial" w:cs="Arial"/>
          <w:bCs/>
          <w:sz w:val="24"/>
          <w:szCs w:val="24"/>
        </w:rPr>
        <w:t>uvedených v žádosti žadatele, a </w:t>
      </w:r>
      <w:r w:rsidRPr="00C137F6">
        <w:rPr>
          <w:rFonts w:ascii="Arial" w:hAnsi="Arial" w:cs="Arial"/>
          <w:bCs/>
          <w:sz w:val="24"/>
          <w:szCs w:val="24"/>
        </w:rPr>
        <w:t xml:space="preserve">činí </w:t>
      </w:r>
      <w:r w:rsidR="00C97A88" w:rsidRPr="00C137F6">
        <w:rPr>
          <w:rFonts w:ascii="Arial" w:hAnsi="Arial" w:cs="Arial"/>
          <w:b/>
          <w:bCs/>
          <w:sz w:val="24"/>
          <w:szCs w:val="24"/>
        </w:rPr>
        <w:t>50</w:t>
      </w:r>
      <w:r w:rsidRPr="00C137F6">
        <w:rPr>
          <w:rFonts w:ascii="Arial" w:hAnsi="Arial" w:cs="Arial"/>
          <w:bCs/>
          <w:sz w:val="24"/>
          <w:szCs w:val="24"/>
        </w:rPr>
        <w:t xml:space="preserve"> % </w:t>
      </w:r>
      <w:r w:rsidRPr="00C137F6">
        <w:rPr>
          <w:rFonts w:ascii="Arial" w:hAnsi="Arial" w:cs="Arial"/>
          <w:bCs/>
          <w:sz w:val="24"/>
          <w:szCs w:val="24"/>
        </w:rPr>
        <w:lastRenderedPageBreak/>
        <w:t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C137F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C137F6">
        <w:rPr>
          <w:rFonts w:ascii="Arial" w:hAnsi="Arial" w:cs="Arial"/>
          <w:bCs/>
          <w:sz w:val="24"/>
          <w:szCs w:val="24"/>
        </w:rPr>
        <w:t xml:space="preserve">maximálně </w:t>
      </w:r>
      <w:r w:rsidR="00C97A88" w:rsidRPr="00C137F6">
        <w:rPr>
          <w:rFonts w:ascii="Arial" w:hAnsi="Arial" w:cs="Arial"/>
          <w:bCs/>
          <w:sz w:val="24"/>
          <w:szCs w:val="24"/>
        </w:rPr>
        <w:t>50</w:t>
      </w:r>
      <w:r w:rsidR="00D95640" w:rsidRPr="00C137F6">
        <w:rPr>
          <w:rFonts w:ascii="Arial" w:hAnsi="Arial" w:cs="Arial"/>
          <w:bCs/>
          <w:sz w:val="24"/>
          <w:szCs w:val="24"/>
        </w:rPr>
        <w:t xml:space="preserve"> % </w:t>
      </w:r>
      <w:r w:rsidRPr="00C137F6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C137F6" w:rsidRPr="00C137F6">
        <w:rPr>
          <w:rFonts w:ascii="Arial" w:hAnsi="Arial" w:cs="Arial"/>
          <w:bCs/>
          <w:sz w:val="24"/>
          <w:szCs w:val="24"/>
        </w:rPr>
        <w:t>.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99C06FE" w:rsidR="00515C83" w:rsidRPr="00C137F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C137F6">
        <w:rPr>
          <w:rFonts w:ascii="Arial" w:hAnsi="Arial" w:cs="Arial"/>
          <w:sz w:val="24"/>
          <w:szCs w:val="24"/>
        </w:rPr>
        <w:t xml:space="preserve">, </w:t>
      </w:r>
      <w:r w:rsidR="005A6E63" w:rsidRPr="00C137F6">
        <w:rPr>
          <w:rFonts w:ascii="Arial" w:hAnsi="Arial" w:cs="Arial"/>
          <w:sz w:val="24"/>
          <w:szCs w:val="24"/>
        </w:rPr>
        <w:t xml:space="preserve">výslovně </w:t>
      </w:r>
      <w:r w:rsidR="00351DC7" w:rsidRPr="00C137F6">
        <w:rPr>
          <w:rFonts w:ascii="Arial" w:hAnsi="Arial" w:cs="Arial"/>
          <w:sz w:val="24"/>
          <w:szCs w:val="24"/>
        </w:rPr>
        <w:t>uveden</w:t>
      </w:r>
      <w:r w:rsidR="000E418F" w:rsidRPr="00C137F6">
        <w:rPr>
          <w:rFonts w:ascii="Arial" w:hAnsi="Arial" w:cs="Arial"/>
          <w:sz w:val="24"/>
          <w:szCs w:val="24"/>
        </w:rPr>
        <w:t>é</w:t>
      </w:r>
      <w:r w:rsidR="00351DC7" w:rsidRPr="00C137F6">
        <w:rPr>
          <w:rFonts w:ascii="Arial" w:hAnsi="Arial" w:cs="Arial"/>
          <w:sz w:val="24"/>
          <w:szCs w:val="24"/>
        </w:rPr>
        <w:t xml:space="preserve"> ve </w:t>
      </w:r>
      <w:r w:rsidR="000E418F" w:rsidRPr="00C137F6">
        <w:rPr>
          <w:rFonts w:ascii="Arial" w:hAnsi="Arial" w:cs="Arial"/>
          <w:sz w:val="24"/>
          <w:szCs w:val="24"/>
        </w:rPr>
        <w:t>S</w:t>
      </w:r>
      <w:r w:rsidR="00351DC7" w:rsidRPr="00C137F6">
        <w:rPr>
          <w:rFonts w:ascii="Arial" w:hAnsi="Arial" w:cs="Arial"/>
          <w:sz w:val="24"/>
          <w:szCs w:val="24"/>
        </w:rPr>
        <w:t>mlouvě.</w:t>
      </w:r>
      <w:r w:rsidR="008624D2" w:rsidRPr="00C137F6">
        <w:rPr>
          <w:rFonts w:ascii="Arial" w:hAnsi="Arial" w:cs="Arial"/>
          <w:sz w:val="24"/>
          <w:szCs w:val="24"/>
        </w:rPr>
        <w:t xml:space="preserve"> Dotace</w:t>
      </w:r>
      <w:r w:rsidRPr="00C137F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C137F6">
        <w:rPr>
          <w:rFonts w:ascii="Arial" w:hAnsi="Arial" w:cs="Arial"/>
          <w:bCs/>
          <w:sz w:val="24"/>
          <w:szCs w:val="24"/>
        </w:rPr>
        <w:t>akce</w:t>
      </w:r>
      <w:r w:rsidRPr="00C137F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6AFAA3CC" w:rsidR="00E86EA7" w:rsidRDefault="00680817" w:rsidP="00C137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Vztahy při</w:t>
      </w:r>
      <w:r w:rsidR="00635D63" w:rsidRPr="00C137F6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C137F6">
        <w:rPr>
          <w:rFonts w:ascii="Arial" w:hAnsi="Arial" w:cs="Arial"/>
          <w:sz w:val="24"/>
          <w:szCs w:val="24"/>
        </w:rPr>
        <w:t xml:space="preserve">pro případy </w:t>
      </w:r>
      <w:r w:rsidR="00635D63" w:rsidRPr="00C137F6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C137F6">
        <w:rPr>
          <w:rFonts w:ascii="Arial" w:hAnsi="Arial" w:cs="Arial"/>
          <w:sz w:val="24"/>
          <w:szCs w:val="24"/>
        </w:rPr>
        <w:t>jinou osobou než příjemce</w:t>
      </w:r>
      <w:r w:rsidR="00547EB6" w:rsidRPr="00C137F6">
        <w:rPr>
          <w:rFonts w:ascii="Arial" w:hAnsi="Arial" w:cs="Arial"/>
          <w:sz w:val="24"/>
          <w:szCs w:val="24"/>
        </w:rPr>
        <w:t>m</w:t>
      </w:r>
      <w:r w:rsidRPr="00C137F6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C137F6">
        <w:rPr>
          <w:rFonts w:ascii="Arial" w:hAnsi="Arial" w:cs="Arial"/>
          <w:sz w:val="24"/>
          <w:szCs w:val="24"/>
        </w:rPr>
        <w:t xml:space="preserve"> </w:t>
      </w:r>
      <w:r w:rsidR="00AC11A6" w:rsidRPr="00C137F6">
        <w:rPr>
          <w:rFonts w:ascii="Arial" w:hAnsi="Arial" w:cs="Arial"/>
          <w:sz w:val="24"/>
          <w:szCs w:val="24"/>
        </w:rPr>
        <w:t xml:space="preserve">část </w:t>
      </w:r>
      <w:r w:rsidR="00975B47" w:rsidRPr="00C137F6">
        <w:rPr>
          <w:rFonts w:ascii="Arial" w:hAnsi="Arial" w:cs="Arial"/>
          <w:sz w:val="24"/>
          <w:szCs w:val="24"/>
        </w:rPr>
        <w:t xml:space="preserve">A </w:t>
      </w:r>
      <w:r w:rsidRPr="00C137F6">
        <w:rPr>
          <w:rFonts w:ascii="Arial" w:hAnsi="Arial" w:cs="Arial"/>
          <w:sz w:val="24"/>
          <w:szCs w:val="24"/>
        </w:rPr>
        <w:t xml:space="preserve">odst. </w:t>
      </w:r>
      <w:r w:rsidR="00975B47" w:rsidRPr="00C137F6">
        <w:rPr>
          <w:rFonts w:ascii="Arial" w:hAnsi="Arial" w:cs="Arial"/>
          <w:sz w:val="24"/>
          <w:szCs w:val="24"/>
        </w:rPr>
        <w:t>10</w:t>
      </w:r>
      <w:r w:rsidRPr="00C137F6">
        <w:rPr>
          <w:rFonts w:ascii="Arial" w:hAnsi="Arial" w:cs="Arial"/>
          <w:sz w:val="24"/>
          <w:szCs w:val="24"/>
        </w:rPr>
        <w:t xml:space="preserve"> Zásad</w:t>
      </w:r>
      <w:r w:rsidR="00076437" w:rsidRPr="00C137F6">
        <w:rPr>
          <w:rFonts w:ascii="Arial" w:hAnsi="Arial" w:cs="Arial"/>
          <w:sz w:val="24"/>
          <w:szCs w:val="24"/>
        </w:rPr>
        <w:t xml:space="preserve"> a platí pro všechny typy dotací</w:t>
      </w:r>
      <w:r w:rsidRPr="00C137F6">
        <w:rPr>
          <w:rFonts w:ascii="Arial" w:hAnsi="Arial" w:cs="Arial"/>
          <w:sz w:val="24"/>
          <w:szCs w:val="24"/>
        </w:rPr>
        <w:t>.</w:t>
      </w:r>
      <w:r w:rsidR="00E8185A" w:rsidRPr="00C137F6">
        <w:rPr>
          <w:rFonts w:ascii="Arial" w:hAnsi="Arial" w:cs="Arial"/>
          <w:sz w:val="24"/>
          <w:szCs w:val="24"/>
        </w:rPr>
        <w:t> </w:t>
      </w:r>
      <w:r w:rsidR="00C137F6" w:rsidRPr="00C137F6">
        <w:rPr>
          <w:rFonts w:ascii="Arial" w:hAnsi="Arial" w:cs="Arial"/>
          <w:b/>
          <w:sz w:val="24"/>
          <w:szCs w:val="24"/>
        </w:rPr>
        <w:t xml:space="preserve"> </w:t>
      </w:r>
    </w:p>
    <w:p w14:paraId="2C6AC352" w14:textId="77777777" w:rsidR="001F6D40" w:rsidRPr="00C137F6" w:rsidRDefault="001F6D40" w:rsidP="001F6D4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1FBC73F" w14:textId="28C27E78" w:rsidR="00155465" w:rsidRPr="00C137F6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C137F6">
        <w:rPr>
          <w:rFonts w:ascii="Arial" w:hAnsi="Arial" w:cs="Arial"/>
          <w:bCs/>
          <w:sz w:val="24"/>
          <w:szCs w:val="24"/>
        </w:rPr>
        <w:t xml:space="preserve">Výdaje na </w:t>
      </w:r>
      <w:r w:rsidRPr="00C137F6">
        <w:rPr>
          <w:rFonts w:ascii="Arial" w:hAnsi="Arial" w:cs="Arial"/>
          <w:sz w:val="24"/>
          <w:szCs w:val="24"/>
        </w:rPr>
        <w:t xml:space="preserve">realizaci </w:t>
      </w:r>
      <w:r w:rsidR="00C137F6" w:rsidRPr="00C137F6">
        <w:rPr>
          <w:rFonts w:ascii="Arial" w:hAnsi="Arial" w:cs="Arial"/>
          <w:sz w:val="24"/>
          <w:szCs w:val="24"/>
        </w:rPr>
        <w:t>akce</w:t>
      </w:r>
      <w:r w:rsidR="002D6BFF" w:rsidRPr="00C137F6">
        <w:rPr>
          <w:rFonts w:ascii="Arial" w:hAnsi="Arial" w:cs="Arial"/>
          <w:sz w:val="24"/>
          <w:szCs w:val="24"/>
        </w:rPr>
        <w:t>:</w:t>
      </w:r>
      <w:r w:rsidRPr="00C137F6">
        <w:rPr>
          <w:rFonts w:ascii="Arial" w:hAnsi="Arial" w:cs="Arial"/>
          <w:bCs/>
          <w:sz w:val="24"/>
          <w:szCs w:val="24"/>
        </w:rPr>
        <w:t xml:space="preserve"> </w:t>
      </w:r>
    </w:p>
    <w:p w14:paraId="65EC8E83" w14:textId="7F81CF54" w:rsidR="000333AA" w:rsidRPr="00C137F6" w:rsidRDefault="006B6987" w:rsidP="008B2298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696EE03" w:rsidR="005E4A56" w:rsidRDefault="00892EE7" w:rsidP="005E4A5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C137F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C137F6">
        <w:rPr>
          <w:rFonts w:ascii="Arial" w:hAnsi="Arial" w:cs="Arial"/>
          <w:sz w:val="24"/>
          <w:szCs w:val="24"/>
        </w:rPr>
        <w:t xml:space="preserve">, </w:t>
      </w:r>
      <w:r w:rsidRPr="00C137F6">
        <w:rPr>
          <w:rFonts w:ascii="Arial" w:hAnsi="Arial" w:cs="Arial"/>
          <w:sz w:val="24"/>
          <w:szCs w:val="24"/>
        </w:rPr>
        <w:t>použít</w:t>
      </w:r>
      <w:r w:rsidR="00515C83" w:rsidRPr="00C137F6">
        <w:rPr>
          <w:rFonts w:ascii="Arial" w:hAnsi="Arial" w:cs="Arial"/>
          <w:sz w:val="24"/>
          <w:szCs w:val="24"/>
        </w:rPr>
        <w:t>.</w:t>
      </w:r>
      <w:r w:rsidR="00515C83" w:rsidRPr="00C137F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C137F6">
        <w:rPr>
          <w:rFonts w:ascii="Arial" w:hAnsi="Arial" w:cs="Arial"/>
          <w:sz w:val="24"/>
          <w:szCs w:val="24"/>
        </w:rPr>
        <w:t xml:space="preserve"> </w:t>
      </w:r>
      <w:r w:rsidR="005E4A56" w:rsidRPr="00C137F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C137F6">
        <w:rPr>
          <w:rFonts w:ascii="Arial" w:hAnsi="Arial" w:cs="Arial"/>
          <w:sz w:val="24"/>
          <w:szCs w:val="24"/>
        </w:rPr>
        <w:t xml:space="preserve">zejména patří: </w:t>
      </w:r>
      <w:r w:rsidRPr="00C137F6">
        <w:rPr>
          <w:rFonts w:ascii="Arial" w:hAnsi="Arial" w:cs="Arial"/>
          <w:sz w:val="24"/>
          <w:szCs w:val="24"/>
        </w:rPr>
        <w:t xml:space="preserve"> </w:t>
      </w:r>
    </w:p>
    <w:p w14:paraId="3735A376" w14:textId="77777777" w:rsidR="00C137F6" w:rsidRPr="00C137F6" w:rsidRDefault="00C137F6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C137F6" w:rsidRDefault="0069168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C137F6" w:rsidRDefault="0069168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C137F6" w:rsidRDefault="00107CAA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C137F6" w:rsidRDefault="00107CAA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C137F6" w:rsidRDefault="00BC00CE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C137F6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C137F6">
        <w:rPr>
          <w:rFonts w:ascii="Arial" w:hAnsi="Arial" w:cs="Arial"/>
          <w:bCs/>
          <w:sz w:val="24"/>
          <w:szCs w:val="24"/>
        </w:rPr>
        <w:t>,</w:t>
      </w:r>
    </w:p>
    <w:p w14:paraId="69092880" w14:textId="1EC28E86" w:rsidR="00840816" w:rsidRPr="00C137F6" w:rsidRDefault="00840816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mzdové výdaje</w:t>
      </w:r>
      <w:r w:rsidR="00155465" w:rsidRPr="00C137F6">
        <w:rPr>
          <w:rFonts w:ascii="Arial" w:hAnsi="Arial" w:cs="Arial"/>
          <w:bCs/>
          <w:sz w:val="24"/>
          <w:szCs w:val="24"/>
        </w:rPr>
        <w:t>,</w:t>
      </w:r>
    </w:p>
    <w:p w14:paraId="4CE9A5A5" w14:textId="4DEFD3CC" w:rsidR="00691685" w:rsidRPr="00C137F6" w:rsidRDefault="0015546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projektová dokumentace</w:t>
      </w:r>
    </w:p>
    <w:p w14:paraId="3D28E51A" w14:textId="627B890A" w:rsidR="00155465" w:rsidRPr="00C137F6" w:rsidRDefault="0015546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výdaje na odstranění havári</w:t>
      </w:r>
      <w:r w:rsidR="003E47A1" w:rsidRPr="00C137F6">
        <w:rPr>
          <w:rFonts w:ascii="Arial" w:hAnsi="Arial" w:cs="Arial"/>
          <w:sz w:val="24"/>
          <w:szCs w:val="24"/>
        </w:rPr>
        <w:t>e</w:t>
      </w:r>
      <w:r w:rsidRPr="00C137F6">
        <w:rPr>
          <w:rFonts w:ascii="Arial" w:hAnsi="Arial" w:cs="Arial"/>
          <w:sz w:val="24"/>
          <w:szCs w:val="24"/>
        </w:rPr>
        <w:t xml:space="preserve"> na dešťové kanalizaci, pokud nevznikla v přímé souvislosti s povodňovými stavy,</w:t>
      </w:r>
    </w:p>
    <w:p w14:paraId="3E62F069" w14:textId="240053C0" w:rsidR="00155465" w:rsidRPr="00C137F6" w:rsidRDefault="0015546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výdaje související s údržbou vodního díla, která je zákonnou povinností vlastníka vodního díla (zákon č. 254/2001 Sb., o vodách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a o změně některých zákonů /vodní zákon/, ve znění pozdějších předpisů, zákon č. 183/2006 Sb., o územním plánování a stavebním řádu /stavební zákon/, ve znění pozdějších předpisů).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E5FED14" w:rsidR="00463FB1" w:rsidRPr="00C137F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lastRenderedPageBreak/>
        <w:t xml:space="preserve">Pokud je DPH hrazeno v režimu přenesené daňové povinnosti, v době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 xml:space="preserve">po předložení vyúčtování, </w:t>
      </w:r>
      <w:r w:rsidR="00E36E51" w:rsidRPr="00C137F6">
        <w:rPr>
          <w:rFonts w:ascii="Arial" w:hAnsi="Arial" w:cs="Arial"/>
          <w:sz w:val="24"/>
          <w:szCs w:val="24"/>
        </w:rPr>
        <w:t xml:space="preserve">se </w:t>
      </w:r>
      <w:r w:rsidRPr="00C137F6">
        <w:rPr>
          <w:rFonts w:ascii="Arial" w:hAnsi="Arial" w:cs="Arial"/>
          <w:sz w:val="24"/>
          <w:szCs w:val="24"/>
        </w:rPr>
        <w:t>bude postupovat v souladu se Smlouvou (</w:t>
      </w:r>
      <w:r w:rsidR="00B56451" w:rsidRPr="00C137F6">
        <w:rPr>
          <w:rFonts w:ascii="Arial" w:hAnsi="Arial" w:cs="Arial"/>
          <w:sz w:val="24"/>
          <w:szCs w:val="24"/>
        </w:rPr>
        <w:t>čl. II. odst. </w:t>
      </w:r>
      <w:r w:rsidRPr="00C137F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C137F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DAA7F92" w:rsidR="002D6BFF" w:rsidRPr="00C137F6" w:rsidRDefault="00A14CE4" w:rsidP="008B2298">
      <w:pPr>
        <w:ind w:left="708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C137F6">
        <w:rPr>
          <w:rFonts w:ascii="Arial" w:hAnsi="Arial" w:cs="Arial"/>
          <w:sz w:val="24"/>
          <w:szCs w:val="24"/>
        </w:rPr>
        <w:t>definovány jako</w:t>
      </w:r>
      <w:r w:rsidRPr="00C137F6">
        <w:rPr>
          <w:rFonts w:ascii="Arial" w:hAnsi="Arial" w:cs="Arial"/>
          <w:sz w:val="24"/>
          <w:szCs w:val="24"/>
        </w:rPr>
        <w:t xml:space="preserve"> </w:t>
      </w:r>
      <w:r w:rsidR="000C594B" w:rsidRPr="00C137F6">
        <w:rPr>
          <w:rFonts w:ascii="Arial" w:hAnsi="Arial" w:cs="Arial"/>
          <w:sz w:val="24"/>
          <w:szCs w:val="24"/>
        </w:rPr>
        <w:t>ne</w:t>
      </w:r>
      <w:r w:rsidRPr="00C137F6">
        <w:rPr>
          <w:rFonts w:ascii="Arial" w:hAnsi="Arial" w:cs="Arial"/>
          <w:sz w:val="24"/>
          <w:szCs w:val="24"/>
        </w:rPr>
        <w:t>uzn</w:t>
      </w:r>
      <w:r w:rsidR="001B7E48" w:rsidRPr="00C137F6">
        <w:rPr>
          <w:rFonts w:ascii="Arial" w:hAnsi="Arial" w:cs="Arial"/>
          <w:sz w:val="24"/>
          <w:szCs w:val="24"/>
        </w:rPr>
        <w:t>atelné</w:t>
      </w:r>
      <w:r w:rsidR="00FC50DF" w:rsidRPr="00C137F6">
        <w:rPr>
          <w:rFonts w:ascii="Arial" w:hAnsi="Arial" w:cs="Arial"/>
          <w:sz w:val="24"/>
          <w:szCs w:val="24"/>
        </w:rPr>
        <w:t>,</w:t>
      </w:r>
      <w:r w:rsidR="001B7E48" w:rsidRPr="00C137F6">
        <w:rPr>
          <w:rFonts w:ascii="Arial" w:hAnsi="Arial" w:cs="Arial"/>
          <w:sz w:val="24"/>
          <w:szCs w:val="24"/>
        </w:rPr>
        <w:t xml:space="preserve"> jsou uznatelnými výdaji</w:t>
      </w:r>
      <w:r w:rsidR="00995DB1" w:rsidRPr="00C137F6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40169622" w:rsidR="003D2FD7" w:rsidRPr="00C137F6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Změna </w:t>
      </w:r>
      <w:r w:rsidR="00463FB1" w:rsidRPr="00C137F6">
        <w:rPr>
          <w:rFonts w:ascii="Arial" w:hAnsi="Arial" w:cs="Arial"/>
          <w:sz w:val="24"/>
          <w:szCs w:val="24"/>
        </w:rPr>
        <w:t xml:space="preserve">(upřesnění) </w:t>
      </w:r>
      <w:r w:rsidRPr="00C137F6">
        <w:rPr>
          <w:rFonts w:ascii="Arial" w:hAnsi="Arial" w:cs="Arial"/>
          <w:sz w:val="24"/>
          <w:szCs w:val="24"/>
        </w:rPr>
        <w:t>konkrétního účelu dotace</w:t>
      </w:r>
      <w:r w:rsidR="0073337B" w:rsidRPr="00C137F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C137F6">
        <w:rPr>
          <w:rFonts w:ascii="Arial" w:hAnsi="Arial" w:cs="Arial"/>
          <w:sz w:val="24"/>
          <w:szCs w:val="24"/>
        </w:rPr>
        <w:t xml:space="preserve">, </w:t>
      </w:r>
      <w:r w:rsidR="006A64B8" w:rsidRPr="00C137F6">
        <w:rPr>
          <w:rFonts w:ascii="Arial" w:hAnsi="Arial" w:cs="Arial"/>
          <w:sz w:val="24"/>
          <w:szCs w:val="24"/>
        </w:rPr>
        <w:t xml:space="preserve">změna období realizace akce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="006A64B8" w:rsidRPr="00C137F6">
        <w:rPr>
          <w:rFonts w:ascii="Arial" w:hAnsi="Arial" w:cs="Arial"/>
          <w:sz w:val="24"/>
          <w:szCs w:val="24"/>
        </w:rPr>
        <w:t xml:space="preserve">nad období </w:t>
      </w:r>
      <w:r w:rsidR="00E06212" w:rsidRPr="00C137F6">
        <w:rPr>
          <w:rFonts w:ascii="Arial" w:hAnsi="Arial" w:cs="Arial"/>
          <w:sz w:val="24"/>
          <w:szCs w:val="24"/>
        </w:rPr>
        <w:t>stanovené</w:t>
      </w:r>
      <w:r w:rsidR="006A64B8" w:rsidRPr="00C137F6">
        <w:rPr>
          <w:rFonts w:ascii="Arial" w:hAnsi="Arial" w:cs="Arial"/>
          <w:sz w:val="24"/>
          <w:szCs w:val="24"/>
        </w:rPr>
        <w:t xml:space="preserve"> </w:t>
      </w:r>
      <w:r w:rsidR="003E4B09" w:rsidRPr="00C137F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C137F6">
        <w:rPr>
          <w:rFonts w:ascii="Arial" w:hAnsi="Arial" w:cs="Arial"/>
          <w:sz w:val="24"/>
          <w:szCs w:val="24"/>
        </w:rPr>
        <w:t xml:space="preserve"> </w:t>
      </w:r>
      <w:r w:rsidR="00935597" w:rsidRPr="00C137F6">
        <w:rPr>
          <w:rFonts w:ascii="Arial" w:hAnsi="Arial" w:cs="Arial"/>
          <w:sz w:val="24"/>
          <w:szCs w:val="24"/>
        </w:rPr>
        <w:t>změna termínu použití dotace</w:t>
      </w:r>
      <w:r w:rsidR="00DC0E06" w:rsidRPr="00C137F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C137F6">
        <w:rPr>
          <w:rFonts w:ascii="Arial" w:hAnsi="Arial" w:cs="Arial"/>
          <w:sz w:val="24"/>
          <w:szCs w:val="24"/>
        </w:rPr>
        <w:t>je možná pouze</w:t>
      </w:r>
      <w:r w:rsidR="00F913A7" w:rsidRPr="00C137F6">
        <w:rPr>
          <w:rFonts w:ascii="Arial" w:hAnsi="Arial" w:cs="Arial"/>
          <w:sz w:val="24"/>
          <w:szCs w:val="24"/>
        </w:rPr>
        <w:t xml:space="preserve"> n</w:t>
      </w:r>
      <w:r w:rsidR="00BA36B7" w:rsidRPr="00C137F6">
        <w:rPr>
          <w:rFonts w:ascii="Arial" w:hAnsi="Arial" w:cs="Arial"/>
          <w:sz w:val="24"/>
          <w:szCs w:val="24"/>
        </w:rPr>
        <w:t>a základě uzavřeného dodatku ke </w:t>
      </w:r>
      <w:r w:rsidR="00F913A7" w:rsidRPr="00C137F6">
        <w:rPr>
          <w:rFonts w:ascii="Arial" w:hAnsi="Arial" w:cs="Arial"/>
          <w:sz w:val="24"/>
          <w:szCs w:val="24"/>
        </w:rPr>
        <w:t xml:space="preserve">Smlouvě, </w:t>
      </w:r>
      <w:r w:rsidRPr="00C137F6">
        <w:rPr>
          <w:rFonts w:ascii="Arial" w:hAnsi="Arial" w:cs="Arial"/>
          <w:sz w:val="24"/>
          <w:szCs w:val="24"/>
        </w:rPr>
        <w:t>s</w:t>
      </w:r>
      <w:r w:rsidR="0017323F" w:rsidRPr="00C137F6">
        <w:rPr>
          <w:rFonts w:ascii="Arial" w:hAnsi="Arial" w:cs="Arial"/>
          <w:sz w:val="24"/>
          <w:szCs w:val="24"/>
        </w:rPr>
        <w:t> </w:t>
      </w:r>
      <w:r w:rsidRPr="00C137F6">
        <w:rPr>
          <w:rFonts w:ascii="Arial" w:hAnsi="Arial" w:cs="Arial"/>
          <w:sz w:val="24"/>
          <w:szCs w:val="24"/>
        </w:rPr>
        <w:t>předchozím</w:t>
      </w:r>
      <w:r w:rsidR="0017323F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 xml:space="preserve">souhlasem řídícího orgánu, který rozhodl o poskytnutí dotace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a uzavření Smlouvy (</w:t>
      </w:r>
      <w:r w:rsidR="00F913A7" w:rsidRPr="00C137F6">
        <w:rPr>
          <w:rFonts w:ascii="Arial" w:hAnsi="Arial" w:cs="Arial"/>
          <w:sz w:val="24"/>
          <w:szCs w:val="24"/>
        </w:rPr>
        <w:t xml:space="preserve">schválení </w:t>
      </w:r>
      <w:r w:rsidRPr="00C137F6">
        <w:rPr>
          <w:rFonts w:ascii="Arial" w:hAnsi="Arial" w:cs="Arial"/>
          <w:sz w:val="24"/>
          <w:szCs w:val="24"/>
        </w:rPr>
        <w:t>dodatku ke Smlouvě).</w:t>
      </w:r>
      <w:r w:rsidR="009B3841" w:rsidRPr="00C137F6">
        <w:rPr>
          <w:rFonts w:ascii="Arial" w:eastAsia="Times New Roman" w:hAnsi="Arial" w:cs="Arial"/>
          <w:lang w:eastAsia="cs-CZ"/>
        </w:rPr>
        <w:t xml:space="preserve"> </w:t>
      </w:r>
      <w:r w:rsidR="009B3841" w:rsidRPr="00C137F6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="009B3841" w:rsidRPr="00C137F6">
        <w:rPr>
          <w:rFonts w:ascii="Arial" w:hAnsi="Arial" w:cs="Arial"/>
          <w:sz w:val="24"/>
          <w:szCs w:val="24"/>
        </w:rPr>
        <w:t>nad rámec doby pro použití dotace stanovené v odst. 5.4 písm. c) těchto Pravidel, lze v tomto dodatku rovněž přiměřeně zm</w:t>
      </w:r>
      <w:r w:rsidR="00C137F6" w:rsidRPr="00C137F6">
        <w:rPr>
          <w:rFonts w:ascii="Arial" w:hAnsi="Arial" w:cs="Arial"/>
          <w:sz w:val="24"/>
          <w:szCs w:val="24"/>
        </w:rPr>
        <w:t>ěnit také období realizace akce</w:t>
      </w:r>
      <w:r w:rsidR="009B3841" w:rsidRPr="00C137F6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C137F6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Příjemce </w:t>
      </w:r>
      <w:r w:rsidR="00AC1C79" w:rsidRPr="00C137F6">
        <w:rPr>
          <w:rFonts w:ascii="Arial" w:hAnsi="Arial" w:cs="Arial"/>
          <w:sz w:val="24"/>
          <w:szCs w:val="24"/>
        </w:rPr>
        <w:t xml:space="preserve">je povinen </w:t>
      </w:r>
      <w:r w:rsidRPr="00C137F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C137F6">
        <w:rPr>
          <w:rFonts w:ascii="Arial" w:hAnsi="Arial" w:cs="Arial"/>
          <w:sz w:val="24"/>
          <w:szCs w:val="24"/>
        </w:rPr>
        <w:t>a </w:t>
      </w:r>
      <w:r w:rsidR="0066232E" w:rsidRPr="00C137F6">
        <w:rPr>
          <w:rFonts w:ascii="Arial" w:hAnsi="Arial" w:cs="Arial"/>
          <w:sz w:val="24"/>
          <w:szCs w:val="24"/>
        </w:rPr>
        <w:t xml:space="preserve">účinnými </w:t>
      </w:r>
      <w:r w:rsidRPr="00C137F6">
        <w:rPr>
          <w:rFonts w:ascii="Arial" w:hAnsi="Arial" w:cs="Arial"/>
          <w:sz w:val="24"/>
          <w:szCs w:val="24"/>
        </w:rPr>
        <w:t>právními předpisy. Výběr dodavatel</w:t>
      </w:r>
      <w:r w:rsidR="005500EE" w:rsidRPr="00C137F6">
        <w:rPr>
          <w:rFonts w:ascii="Arial" w:hAnsi="Arial" w:cs="Arial"/>
          <w:sz w:val="24"/>
          <w:szCs w:val="24"/>
        </w:rPr>
        <w:t>e musí být proveden v souladu s </w:t>
      </w:r>
      <w:r w:rsidRPr="00C137F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C137F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2748015" w14:textId="3921A8CB" w:rsidR="00E011B6" w:rsidRPr="00C137F6" w:rsidRDefault="00C97C1D" w:rsidP="008B229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C137F6">
        <w:rPr>
          <w:rFonts w:ascii="Arial" w:hAnsi="Arial" w:cs="Arial"/>
          <w:bCs/>
          <w:sz w:val="24"/>
          <w:szCs w:val="24"/>
        </w:rPr>
        <w:t xml:space="preserve">poskytovatele </w:t>
      </w:r>
      <w:r w:rsidRPr="00C137F6">
        <w:rPr>
          <w:rFonts w:ascii="Arial" w:hAnsi="Arial" w:cs="Arial"/>
          <w:bCs/>
          <w:sz w:val="24"/>
          <w:szCs w:val="24"/>
        </w:rPr>
        <w:t>(</w:t>
      </w:r>
      <w:r w:rsidR="00BA36B7" w:rsidRPr="00C137F6">
        <w:rPr>
          <w:rFonts w:ascii="Arial" w:hAnsi="Arial" w:cs="Arial"/>
          <w:sz w:val="24"/>
          <w:szCs w:val="24"/>
        </w:rPr>
        <w:t>schválení a </w:t>
      </w:r>
      <w:r w:rsidRPr="00C137F6">
        <w:rPr>
          <w:rFonts w:ascii="Arial" w:hAnsi="Arial" w:cs="Arial"/>
          <w:sz w:val="24"/>
          <w:szCs w:val="24"/>
        </w:rPr>
        <w:t>uzavření dodatku ke Smlouvě</w:t>
      </w:r>
      <w:r w:rsidR="0000331A" w:rsidRPr="00C137F6">
        <w:rPr>
          <w:rFonts w:ascii="Arial" w:hAnsi="Arial" w:cs="Arial"/>
          <w:sz w:val="24"/>
          <w:szCs w:val="24"/>
        </w:rPr>
        <w:t xml:space="preserve">) </w:t>
      </w:r>
      <w:r w:rsidRPr="00C137F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C137F6">
        <w:rPr>
          <w:rFonts w:ascii="Arial" w:hAnsi="Arial" w:cs="Arial"/>
          <w:bCs/>
          <w:sz w:val="24"/>
          <w:szCs w:val="24"/>
        </w:rPr>
        <w:t>sob, včetně zástavního práva (s </w:t>
      </w:r>
      <w:r w:rsidRPr="00C137F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C137F6">
        <w:rPr>
          <w:rFonts w:ascii="Arial" w:hAnsi="Arial" w:cs="Arial"/>
          <w:bCs/>
          <w:sz w:val="24"/>
          <w:szCs w:val="24"/>
        </w:rPr>
        <w:t>eného k </w:t>
      </w:r>
      <w:r w:rsidRPr="00C137F6">
        <w:rPr>
          <w:rFonts w:ascii="Arial" w:hAnsi="Arial" w:cs="Arial"/>
          <w:bCs/>
          <w:sz w:val="24"/>
          <w:szCs w:val="24"/>
        </w:rPr>
        <w:t>zajiš</w:t>
      </w:r>
      <w:r w:rsidR="005500EE" w:rsidRPr="00C137F6">
        <w:rPr>
          <w:rFonts w:ascii="Arial" w:hAnsi="Arial" w:cs="Arial"/>
          <w:bCs/>
          <w:sz w:val="24"/>
          <w:szCs w:val="24"/>
        </w:rPr>
        <w:t>tění úvěru příjemce ve vztahu k </w:t>
      </w:r>
      <w:r w:rsidRPr="00C137F6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C137F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C137F6">
        <w:rPr>
          <w:rFonts w:ascii="Arial" w:hAnsi="Arial" w:cs="Arial"/>
          <w:sz w:val="24"/>
          <w:szCs w:val="24"/>
        </w:rPr>
        <w:t xml:space="preserve"> </w:t>
      </w:r>
      <w:r w:rsidR="00113FA2" w:rsidRPr="00C137F6">
        <w:rPr>
          <w:rFonts w:ascii="Arial" w:hAnsi="Arial" w:cs="Arial"/>
          <w:sz w:val="24"/>
          <w:szCs w:val="24"/>
        </w:rPr>
        <w:t>Uzavření dodatku není nutné v</w:t>
      </w:r>
      <w:r w:rsidR="00A946CA" w:rsidRPr="00C137F6">
        <w:rPr>
          <w:rFonts w:ascii="Arial" w:hAnsi="Arial" w:cs="Arial"/>
          <w:sz w:val="24"/>
          <w:szCs w:val="24"/>
        </w:rPr>
        <w:t> </w:t>
      </w:r>
      <w:r w:rsidR="00113FA2" w:rsidRPr="00C137F6">
        <w:rPr>
          <w:rFonts w:ascii="Arial" w:hAnsi="Arial" w:cs="Arial"/>
          <w:sz w:val="24"/>
          <w:szCs w:val="24"/>
        </w:rPr>
        <w:t>případ</w:t>
      </w:r>
      <w:r w:rsidR="00A946CA" w:rsidRPr="00C137F6">
        <w:rPr>
          <w:rFonts w:ascii="Arial" w:hAnsi="Arial" w:cs="Arial"/>
          <w:sz w:val="24"/>
          <w:szCs w:val="24"/>
        </w:rPr>
        <w:t>ech, kd</w:t>
      </w:r>
      <w:r w:rsidR="00BA36B7" w:rsidRPr="00C137F6">
        <w:rPr>
          <w:rFonts w:ascii="Arial" w:hAnsi="Arial" w:cs="Arial"/>
          <w:sz w:val="24"/>
          <w:szCs w:val="24"/>
        </w:rPr>
        <w:t>y zatížení majetku nemá vliv na </w:t>
      </w:r>
      <w:r w:rsidR="00A946CA" w:rsidRPr="00C137F6">
        <w:rPr>
          <w:rFonts w:ascii="Arial" w:hAnsi="Arial" w:cs="Arial"/>
          <w:sz w:val="24"/>
          <w:szCs w:val="24"/>
        </w:rPr>
        <w:t xml:space="preserve">funkčnost </w:t>
      </w:r>
      <w:r w:rsidR="00154F67" w:rsidRPr="00C137F6">
        <w:rPr>
          <w:rFonts w:ascii="Arial" w:hAnsi="Arial" w:cs="Arial"/>
          <w:sz w:val="24"/>
          <w:szCs w:val="24"/>
        </w:rPr>
        <w:t>a</w:t>
      </w:r>
      <w:r w:rsidR="00A946CA" w:rsidRPr="00C137F6">
        <w:rPr>
          <w:rFonts w:ascii="Arial" w:hAnsi="Arial" w:cs="Arial"/>
          <w:sz w:val="24"/>
          <w:szCs w:val="24"/>
        </w:rPr>
        <w:t xml:space="preserve"> hodnotu majetku</w:t>
      </w:r>
      <w:r w:rsidR="00154F67" w:rsidRPr="00C137F6">
        <w:rPr>
          <w:rFonts w:ascii="Arial" w:hAnsi="Arial" w:cs="Arial"/>
          <w:sz w:val="24"/>
          <w:szCs w:val="24"/>
        </w:rPr>
        <w:t>, např. zřízení věcného břemene</w:t>
      </w:r>
      <w:r w:rsidR="00FC4019" w:rsidRPr="00C137F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C137F6">
        <w:rPr>
          <w:rFonts w:ascii="Arial" w:hAnsi="Arial" w:cs="Arial"/>
          <w:sz w:val="24"/>
          <w:szCs w:val="24"/>
        </w:rPr>
        <w:t>vedení inženýrských sítí</w:t>
      </w:r>
      <w:r w:rsidR="00FC4019" w:rsidRPr="00C137F6">
        <w:rPr>
          <w:rFonts w:ascii="Arial" w:hAnsi="Arial" w:cs="Arial"/>
          <w:sz w:val="24"/>
          <w:szCs w:val="24"/>
        </w:rPr>
        <w:t xml:space="preserve"> apod.</w:t>
      </w:r>
      <w:r w:rsidR="00CE66E8" w:rsidRPr="00C137F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C137F6">
        <w:rPr>
          <w:rFonts w:ascii="Arial" w:hAnsi="Arial" w:cs="Arial"/>
          <w:sz w:val="24"/>
          <w:szCs w:val="24"/>
        </w:rPr>
        <w:t>.</w:t>
      </w:r>
      <w:r w:rsidR="00C60EBC" w:rsidRPr="00C137F6">
        <w:rPr>
          <w:rFonts w:ascii="Arial" w:hAnsi="Arial" w:cs="Arial"/>
          <w:sz w:val="24"/>
          <w:szCs w:val="24"/>
        </w:rPr>
        <w:t xml:space="preserve"> </w:t>
      </w:r>
    </w:p>
    <w:p w14:paraId="3EB0CE8A" w14:textId="0B220079" w:rsidR="008579EC" w:rsidRPr="00C137F6" w:rsidRDefault="008579EC" w:rsidP="008B2298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8A5F87A" w14:textId="42F602C1" w:rsidR="00C97C1D" w:rsidRPr="00C137F6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C137F6">
        <w:rPr>
          <w:rFonts w:ascii="Arial" w:hAnsi="Arial" w:cs="Arial"/>
          <w:bCs/>
          <w:sz w:val="24"/>
          <w:szCs w:val="24"/>
        </w:rPr>
        <w:t xml:space="preserve">dále </w:t>
      </w:r>
      <w:r w:rsidRPr="00C137F6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E011B6" w:rsidRPr="00C137F6">
        <w:rPr>
          <w:rFonts w:ascii="Arial" w:hAnsi="Arial" w:cs="Arial"/>
          <w:bCs/>
          <w:sz w:val="24"/>
          <w:szCs w:val="24"/>
        </w:rPr>
        <w:t>2</w:t>
      </w:r>
      <w:r w:rsidRPr="00C137F6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E011B6" w:rsidRPr="00C137F6">
        <w:rPr>
          <w:rFonts w:ascii="Arial" w:hAnsi="Arial" w:cs="Arial"/>
          <w:bCs/>
          <w:sz w:val="24"/>
          <w:szCs w:val="24"/>
        </w:rPr>
        <w:t>vodohospodářskou infrastrukturu vodovodů a kanalizací nebo vodní dílo, na n</w:t>
      </w:r>
      <w:r w:rsidR="001A6B26" w:rsidRPr="00C137F6">
        <w:rPr>
          <w:rFonts w:ascii="Arial" w:hAnsi="Arial" w:cs="Arial"/>
          <w:bCs/>
          <w:sz w:val="24"/>
          <w:szCs w:val="24"/>
        </w:rPr>
        <w:t>i</w:t>
      </w:r>
      <w:r w:rsidR="00E011B6" w:rsidRPr="00C137F6">
        <w:rPr>
          <w:rFonts w:ascii="Arial" w:hAnsi="Arial" w:cs="Arial"/>
          <w:bCs/>
          <w:sz w:val="24"/>
          <w:szCs w:val="24"/>
        </w:rPr>
        <w:t xml:space="preserve">ž byla poskytnuta dotace, </w:t>
      </w:r>
      <w:r w:rsidRPr="00C137F6">
        <w:rPr>
          <w:rFonts w:ascii="Arial" w:hAnsi="Arial" w:cs="Arial"/>
          <w:bCs/>
          <w:sz w:val="24"/>
          <w:szCs w:val="24"/>
        </w:rPr>
        <w:t>a neukončit jej</w:t>
      </w:r>
      <w:r w:rsidR="00FB3BD9" w:rsidRPr="00C137F6">
        <w:rPr>
          <w:rFonts w:ascii="Arial" w:hAnsi="Arial" w:cs="Arial"/>
          <w:bCs/>
          <w:sz w:val="24"/>
          <w:szCs w:val="24"/>
        </w:rPr>
        <w:t>/ji</w:t>
      </w:r>
      <w:r w:rsidR="005500EE" w:rsidRPr="00C137F6">
        <w:rPr>
          <w:rFonts w:ascii="Arial" w:hAnsi="Arial" w:cs="Arial"/>
          <w:bCs/>
          <w:sz w:val="24"/>
          <w:szCs w:val="24"/>
        </w:rPr>
        <w:t xml:space="preserve"> ani nepřerušit </w:t>
      </w:r>
      <w:r w:rsidR="001A6B26" w:rsidRPr="00C137F6">
        <w:rPr>
          <w:rFonts w:ascii="Arial" w:hAnsi="Arial" w:cs="Arial"/>
          <w:bCs/>
          <w:sz w:val="24"/>
          <w:szCs w:val="24"/>
        </w:rPr>
        <w:br/>
      </w:r>
      <w:r w:rsidR="005500EE" w:rsidRPr="00C137F6">
        <w:rPr>
          <w:rFonts w:ascii="Arial" w:hAnsi="Arial" w:cs="Arial"/>
          <w:bCs/>
          <w:sz w:val="24"/>
          <w:szCs w:val="24"/>
        </w:rPr>
        <w:t>bez vědomí a </w:t>
      </w:r>
      <w:r w:rsidRPr="00C137F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C137F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C137F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C137F6">
        <w:rPr>
          <w:rFonts w:ascii="Arial" w:hAnsi="Arial" w:cs="Arial"/>
          <w:bCs/>
          <w:sz w:val="24"/>
          <w:szCs w:val="24"/>
        </w:rPr>
        <w:t xml:space="preserve">ý rozhodl </w:t>
      </w:r>
      <w:r w:rsidR="001A6B26" w:rsidRPr="00C137F6">
        <w:rPr>
          <w:rFonts w:ascii="Arial" w:hAnsi="Arial" w:cs="Arial"/>
          <w:bCs/>
          <w:sz w:val="24"/>
          <w:szCs w:val="24"/>
        </w:rPr>
        <w:br/>
      </w:r>
      <w:r w:rsidR="005500EE" w:rsidRPr="00C137F6">
        <w:rPr>
          <w:rFonts w:ascii="Arial" w:hAnsi="Arial" w:cs="Arial"/>
          <w:bCs/>
          <w:sz w:val="24"/>
          <w:szCs w:val="24"/>
        </w:rPr>
        <w:t>o poskytnutí dotace a </w:t>
      </w:r>
      <w:r w:rsidR="0000331A" w:rsidRPr="00C137F6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8B10BAC" w:rsidR="00691685" w:rsidRPr="00C137F6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C137F6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C137F6">
        <w:rPr>
          <w:rFonts w:ascii="Arial" w:hAnsi="Arial" w:cs="Arial"/>
          <w:bCs/>
          <w:sz w:val="24"/>
          <w:szCs w:val="24"/>
        </w:rPr>
        <w:t xml:space="preserve">nesmí majetek pořízený z dotace, nebo jeho části, </w:t>
      </w:r>
      <w:r w:rsidRPr="00C137F6">
        <w:rPr>
          <w:rFonts w:ascii="Arial" w:hAnsi="Arial" w:cs="Arial"/>
          <w:bCs/>
          <w:sz w:val="24"/>
          <w:szCs w:val="24"/>
        </w:rPr>
        <w:lastRenderedPageBreak/>
        <w:t>po</w:t>
      </w:r>
      <w:r w:rsidR="005500EE" w:rsidRPr="00C137F6">
        <w:rPr>
          <w:rFonts w:ascii="Arial" w:hAnsi="Arial" w:cs="Arial"/>
          <w:bCs/>
          <w:sz w:val="24"/>
          <w:szCs w:val="24"/>
        </w:rPr>
        <w:t> </w:t>
      </w:r>
      <w:r w:rsidRPr="00C137F6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C137F6">
        <w:rPr>
          <w:rFonts w:ascii="Arial" w:hAnsi="Arial" w:cs="Arial"/>
          <w:bCs/>
          <w:sz w:val="24"/>
          <w:szCs w:val="24"/>
        </w:rPr>
        <w:t xml:space="preserve">minimálně </w:t>
      </w:r>
      <w:r w:rsidR="00E011B6" w:rsidRPr="00C137F6">
        <w:rPr>
          <w:rFonts w:ascii="Arial" w:hAnsi="Arial" w:cs="Arial"/>
          <w:bCs/>
          <w:sz w:val="24"/>
          <w:szCs w:val="24"/>
        </w:rPr>
        <w:t>5</w:t>
      </w:r>
      <w:r w:rsidR="007F4B68" w:rsidRPr="00C137F6">
        <w:rPr>
          <w:rFonts w:ascii="Arial" w:hAnsi="Arial" w:cs="Arial"/>
          <w:bCs/>
          <w:sz w:val="24"/>
          <w:szCs w:val="24"/>
        </w:rPr>
        <w:t xml:space="preserve"> let</w:t>
      </w:r>
      <w:r w:rsidRPr="00C137F6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C137F6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C137F6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C137F6">
        <w:rPr>
          <w:rFonts w:ascii="Arial" w:hAnsi="Arial" w:cs="Arial"/>
          <w:bCs/>
          <w:sz w:val="24"/>
          <w:szCs w:val="24"/>
        </w:rPr>
        <w:t>výjimk</w:t>
      </w:r>
      <w:r w:rsidR="005500EE" w:rsidRPr="00C137F6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C137F6">
        <w:rPr>
          <w:rFonts w:ascii="Arial" w:hAnsi="Arial" w:cs="Arial"/>
          <w:bCs/>
          <w:sz w:val="24"/>
          <w:szCs w:val="24"/>
        </w:rPr>
        <w:t>zajiš</w:t>
      </w:r>
      <w:r w:rsidR="00BA36B7" w:rsidRPr="00C137F6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C137F6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C137F6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C137F6">
        <w:rPr>
          <w:rFonts w:ascii="Arial" w:hAnsi="Arial" w:cs="Arial"/>
          <w:bCs/>
          <w:sz w:val="24"/>
          <w:szCs w:val="24"/>
        </w:rPr>
        <w:t xml:space="preserve">předchozího </w:t>
      </w:r>
      <w:r w:rsidRPr="00C137F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C137F6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C137F6">
        <w:rPr>
          <w:rFonts w:ascii="Arial" w:hAnsi="Arial" w:cs="Arial"/>
          <w:sz w:val="24"/>
          <w:szCs w:val="24"/>
        </w:rPr>
        <w:t xml:space="preserve">(schválení </w:t>
      </w:r>
      <w:r w:rsidR="00AC4ABE" w:rsidRPr="00C137F6">
        <w:rPr>
          <w:rFonts w:ascii="Arial" w:hAnsi="Arial" w:cs="Arial"/>
          <w:sz w:val="24"/>
          <w:szCs w:val="24"/>
        </w:rPr>
        <w:t xml:space="preserve">a uzavření </w:t>
      </w:r>
      <w:r w:rsidR="00684788" w:rsidRPr="00C137F6">
        <w:rPr>
          <w:rFonts w:ascii="Arial" w:hAnsi="Arial" w:cs="Arial"/>
          <w:sz w:val="24"/>
          <w:szCs w:val="24"/>
        </w:rPr>
        <w:t>dodatku ke Smlouvě)</w:t>
      </w:r>
      <w:r w:rsidRPr="00C137F6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C137F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C137F6">
        <w:rPr>
          <w:rFonts w:ascii="Arial" w:hAnsi="Arial" w:cs="Arial"/>
          <w:bCs/>
          <w:sz w:val="24"/>
          <w:szCs w:val="24"/>
        </w:rPr>
        <w:t>, kter</w:t>
      </w:r>
      <w:r w:rsidR="0079029A" w:rsidRPr="00C137F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C137F6">
        <w:rPr>
          <w:rFonts w:ascii="Arial" w:hAnsi="Arial" w:cs="Arial"/>
          <w:bCs/>
          <w:sz w:val="24"/>
          <w:szCs w:val="24"/>
        </w:rPr>
        <w:t>uzavření Smlouvy</w:t>
      </w:r>
      <w:r w:rsidR="00D750DB" w:rsidRPr="00C137F6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C137F6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C137F6">
        <w:rPr>
          <w:rFonts w:ascii="Arial" w:hAnsi="Arial" w:cs="Arial"/>
          <w:sz w:val="24"/>
          <w:szCs w:val="24"/>
        </w:rPr>
        <w:t> </w:t>
      </w:r>
      <w:r w:rsidR="00D35C0C" w:rsidRPr="00C137F6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C137F6">
        <w:rPr>
          <w:rFonts w:ascii="Arial" w:hAnsi="Arial" w:cs="Arial"/>
          <w:sz w:val="24"/>
          <w:szCs w:val="24"/>
        </w:rPr>
        <w:t>.</w:t>
      </w:r>
      <w:r w:rsidR="00B77215" w:rsidRPr="00C137F6">
        <w:rPr>
          <w:rFonts w:ascii="Arial" w:hAnsi="Arial" w:cs="Arial"/>
          <w:sz w:val="24"/>
          <w:szCs w:val="24"/>
        </w:rPr>
        <w:t xml:space="preserve"> Příjemce je dále povinen</w:t>
      </w:r>
      <w:r w:rsidR="001A6B26" w:rsidRPr="00C137F6">
        <w:rPr>
          <w:rFonts w:ascii="Arial" w:hAnsi="Arial" w:cs="Arial"/>
          <w:sz w:val="24"/>
          <w:szCs w:val="24"/>
        </w:rPr>
        <w:t xml:space="preserve"> </w:t>
      </w:r>
      <w:r w:rsidR="00B77215" w:rsidRPr="00C137F6">
        <w:rPr>
          <w:rFonts w:ascii="Arial" w:hAnsi="Arial" w:cs="Arial"/>
          <w:sz w:val="24"/>
          <w:szCs w:val="24"/>
        </w:rPr>
        <w:t>po dobu</w:t>
      </w:r>
      <w:r w:rsidR="001A6B26" w:rsidRPr="00C137F6">
        <w:rPr>
          <w:rFonts w:ascii="Arial" w:hAnsi="Arial" w:cs="Arial"/>
          <w:sz w:val="24"/>
          <w:szCs w:val="24"/>
        </w:rPr>
        <w:t xml:space="preserve"> </w:t>
      </w:r>
      <w:r w:rsidR="00B77215" w:rsidRPr="00C137F6">
        <w:rPr>
          <w:rFonts w:ascii="Arial" w:hAnsi="Arial" w:cs="Arial"/>
          <w:sz w:val="24"/>
          <w:szCs w:val="24"/>
        </w:rPr>
        <w:t xml:space="preserve">minimálně 2 let ode dne účinnosti Smlouvy provozovat vodohospodářskou infrastrukturu vodovodů a kanalizací nebo vodní dílo, </w:t>
      </w:r>
      <w:r w:rsidR="001A6B26" w:rsidRPr="00C137F6">
        <w:rPr>
          <w:rFonts w:ascii="Arial" w:hAnsi="Arial" w:cs="Arial"/>
          <w:sz w:val="24"/>
          <w:szCs w:val="24"/>
        </w:rPr>
        <w:br/>
        <w:t>na ni</w:t>
      </w:r>
      <w:r w:rsidR="00B77215" w:rsidRPr="00C137F6">
        <w:rPr>
          <w:rFonts w:ascii="Arial" w:hAnsi="Arial" w:cs="Arial"/>
          <w:sz w:val="24"/>
          <w:szCs w:val="24"/>
        </w:rPr>
        <w:t xml:space="preserve">ž byla poskytnuta dotace, a neukončit jej/ji ani nepřerušit bez vědomí </w:t>
      </w:r>
      <w:r w:rsidR="001A6B26" w:rsidRPr="00C137F6">
        <w:rPr>
          <w:rFonts w:ascii="Arial" w:hAnsi="Arial" w:cs="Arial"/>
          <w:sz w:val="24"/>
          <w:szCs w:val="24"/>
        </w:rPr>
        <w:br/>
      </w:r>
      <w:r w:rsidR="00B77215" w:rsidRPr="00C137F6">
        <w:rPr>
          <w:rFonts w:ascii="Arial" w:hAnsi="Arial" w:cs="Arial"/>
          <w:sz w:val="24"/>
          <w:szCs w:val="24"/>
        </w:rPr>
        <w:t>a pís</w:t>
      </w:r>
      <w:r w:rsidR="001A6B26" w:rsidRPr="00C137F6">
        <w:rPr>
          <w:rFonts w:ascii="Arial" w:hAnsi="Arial" w:cs="Arial"/>
          <w:sz w:val="24"/>
          <w:szCs w:val="24"/>
        </w:rPr>
        <w:t>e</w:t>
      </w:r>
      <w:r w:rsidR="00B77215" w:rsidRPr="00C137F6">
        <w:rPr>
          <w:rFonts w:ascii="Arial" w:hAnsi="Arial" w:cs="Arial"/>
          <w:sz w:val="24"/>
          <w:szCs w:val="24"/>
        </w:rPr>
        <w:t xml:space="preserve">mného souhlasu poskytovatele (schválení a uzavření dodatku </w:t>
      </w:r>
      <w:r w:rsidR="001A6B26" w:rsidRPr="00C137F6">
        <w:rPr>
          <w:rFonts w:ascii="Arial" w:hAnsi="Arial" w:cs="Arial"/>
          <w:sz w:val="24"/>
          <w:szCs w:val="24"/>
        </w:rPr>
        <w:br/>
      </w:r>
      <w:r w:rsidR="00B77215" w:rsidRPr="00C137F6">
        <w:rPr>
          <w:rFonts w:ascii="Arial" w:hAnsi="Arial" w:cs="Arial"/>
          <w:sz w:val="24"/>
          <w:szCs w:val="24"/>
        </w:rPr>
        <w:t xml:space="preserve">ke Smlouvě). </w:t>
      </w:r>
      <w:r w:rsidRPr="00C137F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C137F6">
        <w:rPr>
          <w:rFonts w:ascii="Arial" w:hAnsi="Arial" w:cs="Arial"/>
          <w:bCs/>
          <w:sz w:val="24"/>
          <w:szCs w:val="24"/>
        </w:rPr>
        <w:t xml:space="preserve">příjemce </w:t>
      </w:r>
      <w:r w:rsidRPr="00C137F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C137F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C137F6">
        <w:rPr>
          <w:rFonts w:ascii="Arial" w:hAnsi="Arial" w:cs="Arial"/>
          <w:bCs/>
          <w:sz w:val="24"/>
          <w:szCs w:val="24"/>
        </w:rPr>
        <w:t>poskytovatele</w:t>
      </w:r>
      <w:r w:rsidRPr="00C137F6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C137F6">
        <w:rPr>
          <w:rFonts w:ascii="Arial" w:hAnsi="Arial"/>
          <w:sz w:val="24"/>
          <w:szCs w:val="24"/>
        </w:rPr>
        <w:t xml:space="preserve"> </w:t>
      </w:r>
      <w:r w:rsidRPr="00C137F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F927993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75033" w:rsidRPr="00712126">
        <w:rPr>
          <w:rFonts w:ascii="Arial" w:hAnsi="Arial" w:cs="Arial"/>
          <w:sz w:val="24"/>
          <w:szCs w:val="24"/>
        </w:rPr>
        <w:t>15. 2. 2023</w:t>
      </w:r>
      <w:r w:rsidRPr="00712126">
        <w:rPr>
          <w:rFonts w:ascii="Arial" w:hAnsi="Arial" w:cs="Arial"/>
          <w:sz w:val="24"/>
          <w:szCs w:val="24"/>
        </w:rPr>
        <w:t xml:space="preserve"> </w:t>
      </w:r>
      <w:r w:rsidR="005500EE" w:rsidRPr="00712126">
        <w:rPr>
          <w:rFonts w:ascii="Arial" w:hAnsi="Arial" w:cs="Arial"/>
          <w:sz w:val="24"/>
          <w:szCs w:val="24"/>
        </w:rPr>
        <w:t>do </w:t>
      </w:r>
      <w:r w:rsidR="00775033" w:rsidRPr="00712126">
        <w:rPr>
          <w:rFonts w:ascii="Arial" w:hAnsi="Arial" w:cs="Arial"/>
          <w:sz w:val="24"/>
          <w:szCs w:val="24"/>
        </w:rPr>
        <w:t>19. 5. 2023</w:t>
      </w:r>
      <w:r w:rsidRPr="00712126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C137F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BA1C770" w:rsidR="003D1D4B" w:rsidRPr="00DC13C7" w:rsidRDefault="00691685" w:rsidP="00DC13C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C137F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C137F6">
        <w:rPr>
          <w:rFonts w:ascii="Arial" w:hAnsi="Arial" w:cs="Arial"/>
          <w:b/>
          <w:sz w:val="24"/>
          <w:szCs w:val="24"/>
        </w:rPr>
        <w:t>, včetně povinných příloh,</w:t>
      </w:r>
      <w:r w:rsidRPr="00C137F6">
        <w:rPr>
          <w:rFonts w:ascii="Arial" w:hAnsi="Arial" w:cs="Arial"/>
          <w:b/>
          <w:sz w:val="24"/>
          <w:szCs w:val="24"/>
        </w:rPr>
        <w:t xml:space="preserve"> je stanovena od </w:t>
      </w:r>
      <w:r w:rsidR="00775033" w:rsidRPr="00C137F6">
        <w:rPr>
          <w:rFonts w:ascii="Arial" w:hAnsi="Arial" w:cs="Arial"/>
          <w:b/>
          <w:sz w:val="24"/>
          <w:szCs w:val="24"/>
        </w:rPr>
        <w:t>20. 3. 2023</w:t>
      </w:r>
      <w:r w:rsidRPr="00C137F6">
        <w:rPr>
          <w:rFonts w:ascii="Arial" w:hAnsi="Arial" w:cs="Arial"/>
          <w:b/>
          <w:sz w:val="24"/>
          <w:szCs w:val="24"/>
        </w:rPr>
        <w:t xml:space="preserve"> do </w:t>
      </w:r>
      <w:r w:rsidR="00775033" w:rsidRPr="00C137F6">
        <w:rPr>
          <w:rFonts w:ascii="Arial" w:hAnsi="Arial" w:cs="Arial"/>
          <w:b/>
          <w:sz w:val="24"/>
          <w:szCs w:val="24"/>
        </w:rPr>
        <w:t>23. 6. 2023</w:t>
      </w:r>
      <w:r w:rsidRPr="00C137F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C137F6">
        <w:rPr>
          <w:rFonts w:ascii="Arial" w:hAnsi="Arial" w:cs="Arial"/>
          <w:sz w:val="24"/>
          <w:szCs w:val="24"/>
        </w:rPr>
        <w:t xml:space="preserve"> </w:t>
      </w:r>
      <w:r w:rsidR="00DC13C7" w:rsidRPr="00DC13C7">
        <w:rPr>
          <w:rFonts w:ascii="Arial" w:hAnsi="Arial" w:cs="Arial"/>
          <w:sz w:val="24"/>
          <w:szCs w:val="24"/>
        </w:rPr>
        <w:t xml:space="preserve">V případě </w:t>
      </w:r>
      <w:r w:rsidR="00DC13C7" w:rsidRPr="00DC13C7">
        <w:rPr>
          <w:rFonts w:ascii="Arial" w:hAnsi="Arial" w:cs="Arial"/>
          <w:b/>
          <w:sz w:val="24"/>
          <w:szCs w:val="24"/>
        </w:rPr>
        <w:t>osobního podání písemné žádosti</w:t>
      </w:r>
      <w:r w:rsidR="00DC13C7" w:rsidRPr="00DC13C7">
        <w:rPr>
          <w:rFonts w:ascii="Arial" w:hAnsi="Arial" w:cs="Arial"/>
          <w:sz w:val="24"/>
          <w:szCs w:val="24"/>
        </w:rPr>
        <w:t xml:space="preserve"> o dotaci </w:t>
      </w:r>
      <w:r w:rsidR="00DC13C7" w:rsidRPr="00DC13C7">
        <w:rPr>
          <w:rFonts w:ascii="Arial" w:hAnsi="Arial" w:cs="Arial"/>
          <w:b/>
          <w:sz w:val="24"/>
          <w:szCs w:val="24"/>
        </w:rPr>
        <w:t>v listinné podobě</w:t>
      </w:r>
      <w:r w:rsidR="00DC13C7" w:rsidRPr="00DC13C7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="00DC13C7" w:rsidRPr="00DC13C7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DC13C7" w:rsidRPr="00DC13C7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DC13C7" w:rsidRPr="00DC13C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DC13C7" w:rsidRPr="00DC13C7">
          <w:rPr>
            <w:rFonts w:ascii="Arial" w:hAnsi="Arial" w:cs="Arial"/>
            <w:sz w:val="24"/>
            <w:szCs w:val="24"/>
            <w:u w:val="single"/>
          </w:rPr>
          <w:t>1.4.</w:t>
        </w:r>
      </w:hyperlink>
      <w:proofErr w:type="gramEnd"/>
      <w:r w:rsidR="00DC13C7" w:rsidRPr="00DC13C7">
        <w:t xml:space="preserve"> </w:t>
      </w:r>
      <w:r w:rsidR="00DC13C7" w:rsidRPr="00DC13C7">
        <w:rPr>
          <w:rFonts w:ascii="Arial" w:hAnsi="Arial" w:cs="Arial"/>
          <w:sz w:val="24"/>
          <w:szCs w:val="24"/>
        </w:rPr>
        <w:t xml:space="preserve">V případě podání </w:t>
      </w:r>
      <w:r w:rsidR="00DC13C7" w:rsidRPr="00DC13C7">
        <w:rPr>
          <w:rFonts w:ascii="Arial" w:hAnsi="Arial" w:cs="Arial"/>
          <w:b/>
          <w:sz w:val="24"/>
          <w:szCs w:val="24"/>
        </w:rPr>
        <w:t>písemné žádosti v elektronické podobě</w:t>
      </w:r>
      <w:r w:rsidR="00DC13C7" w:rsidRPr="00DC13C7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h).</w:t>
      </w:r>
    </w:p>
    <w:p w14:paraId="5A78AEBD" w14:textId="0DD994AC" w:rsidR="0071231B" w:rsidRPr="00C137F6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0069846" w:rsidR="00B84B5E" w:rsidRPr="00C137F6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C137F6">
        <w:rPr>
          <w:rFonts w:ascii="Arial" w:hAnsi="Arial" w:cs="Arial"/>
          <w:b/>
          <w:sz w:val="24"/>
          <w:szCs w:val="24"/>
        </w:rPr>
        <w:t xml:space="preserve">podávání </w:t>
      </w:r>
      <w:r w:rsidRPr="00C137F6">
        <w:rPr>
          <w:rFonts w:ascii="Arial" w:hAnsi="Arial" w:cs="Arial"/>
          <w:b/>
          <w:sz w:val="24"/>
          <w:szCs w:val="24"/>
        </w:rPr>
        <w:t>žádostí o dotace</w:t>
      </w:r>
      <w:r w:rsidRPr="00C137F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C137F6">
        <w:rPr>
          <w:rFonts w:ascii="Arial" w:hAnsi="Arial" w:cs="Arial"/>
          <w:sz w:val="24"/>
          <w:szCs w:val="24"/>
        </w:rPr>
        <w:t>pro všechny dotace stejný (čl. 3</w:t>
      </w:r>
      <w:r w:rsidR="00AC11A6" w:rsidRPr="00C137F6">
        <w:rPr>
          <w:rFonts w:ascii="Arial" w:hAnsi="Arial" w:cs="Arial"/>
          <w:sz w:val="24"/>
          <w:szCs w:val="24"/>
        </w:rPr>
        <w:t xml:space="preserve"> část </w:t>
      </w:r>
      <w:r w:rsidR="00C350C8" w:rsidRPr="00C137F6">
        <w:rPr>
          <w:rFonts w:ascii="Arial" w:hAnsi="Arial" w:cs="Arial"/>
          <w:sz w:val="24"/>
          <w:szCs w:val="24"/>
        </w:rPr>
        <w:t>A</w:t>
      </w:r>
      <w:r w:rsidR="006B6B0C" w:rsidRPr="00C137F6">
        <w:rPr>
          <w:rFonts w:ascii="Arial" w:hAnsi="Arial" w:cs="Arial"/>
          <w:sz w:val="24"/>
          <w:szCs w:val="24"/>
        </w:rPr>
        <w:t xml:space="preserve"> odst.</w:t>
      </w:r>
      <w:r w:rsidR="00C350C8" w:rsidRPr="00C137F6">
        <w:rPr>
          <w:rFonts w:ascii="Arial" w:hAnsi="Arial" w:cs="Arial"/>
          <w:sz w:val="24"/>
          <w:szCs w:val="24"/>
        </w:rPr>
        <w:t xml:space="preserve"> 4</w:t>
      </w:r>
      <w:r w:rsidR="006B6B0C" w:rsidRPr="00C137F6">
        <w:rPr>
          <w:rFonts w:ascii="Arial" w:hAnsi="Arial" w:cs="Arial"/>
          <w:sz w:val="24"/>
          <w:szCs w:val="24"/>
        </w:rPr>
        <w:t xml:space="preserve"> Zásad).</w:t>
      </w:r>
      <w:r w:rsidR="001B1EFD" w:rsidRPr="00C137F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C137F6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C137F6">
        <w:rPr>
          <w:rFonts w:ascii="Arial" w:hAnsi="Arial" w:cs="Arial"/>
          <w:sz w:val="24"/>
          <w:szCs w:val="24"/>
        </w:rPr>
        <w:t xml:space="preserve">je </w:t>
      </w:r>
      <w:r w:rsidR="00294297" w:rsidRPr="00C137F6">
        <w:rPr>
          <w:rFonts w:ascii="Arial" w:hAnsi="Arial" w:cs="Arial"/>
          <w:sz w:val="24"/>
          <w:szCs w:val="24"/>
        </w:rPr>
        <w:t xml:space="preserve">rovněž </w:t>
      </w:r>
      <w:r w:rsidR="001B1EFD" w:rsidRPr="00C137F6">
        <w:rPr>
          <w:rFonts w:ascii="Arial" w:hAnsi="Arial" w:cs="Arial"/>
          <w:sz w:val="24"/>
          <w:szCs w:val="24"/>
        </w:rPr>
        <w:t>zveřejněn na webových stránkách dotačního programu</w:t>
      </w:r>
      <w:r w:rsidR="00C137F6" w:rsidRPr="00C137F6">
        <w:rPr>
          <w:rFonts w:ascii="Arial" w:hAnsi="Arial" w:cs="Arial"/>
          <w:sz w:val="24"/>
          <w:szCs w:val="24"/>
        </w:rPr>
        <w:t>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33FF1A5A" w14:textId="77777777" w:rsidR="0069191E" w:rsidRPr="008B229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06C86E53" w14:textId="3323618F" w:rsidR="006404FC" w:rsidRPr="00EE3268" w:rsidRDefault="006404FC" w:rsidP="008B2298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0C14877" w14:textId="6D6CECE1" w:rsidR="00714896" w:rsidRPr="00C137F6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lastRenderedPageBreak/>
        <w:t>prostá kopie dokladu o zřízení běžného účtu žadatele (např. prostá kopie smlouvy o zřízení běžného účtu nebo potvrzení banky o zřízení běžného účtu)</w:t>
      </w:r>
      <w:r w:rsidR="000B6F18" w:rsidRPr="00C137F6">
        <w:rPr>
          <w:rFonts w:ascii="Arial" w:hAnsi="Arial" w:cs="Arial"/>
          <w:sz w:val="24"/>
          <w:szCs w:val="24"/>
        </w:rPr>
        <w:t>,</w:t>
      </w:r>
    </w:p>
    <w:p w14:paraId="4205FCD5" w14:textId="6B6F3929" w:rsidR="00691685" w:rsidRPr="00C137F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prostá kopie dokladu prokazujícího právní osobnost žadatele </w:t>
      </w:r>
      <w:r w:rsidR="00AE0262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(např. prostá kopie výpisu z veřejného rejstříku nebo živnostenského rejstříku nebo registru ekonomických subjektů nebo jiné zákonem stanovené evidence)</w:t>
      </w:r>
      <w:r w:rsidR="00BB548B" w:rsidRPr="00C137F6">
        <w:rPr>
          <w:rFonts w:ascii="Arial" w:hAnsi="Arial" w:cs="Arial"/>
          <w:sz w:val="24"/>
          <w:szCs w:val="24"/>
        </w:rPr>
        <w:t>,</w:t>
      </w:r>
      <w:r w:rsidRPr="00C137F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</w:t>
      </w:r>
      <w:r w:rsidRPr="00C137F6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4FBEFFB2" w:rsidR="00691685" w:rsidRPr="00C137F6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C137F6">
        <w:rPr>
          <w:rFonts w:ascii="Arial" w:hAnsi="Arial" w:cs="Arial"/>
          <w:sz w:val="24"/>
          <w:szCs w:val="24"/>
        </w:rPr>
        <w:t>soby zastupovat žadatele (např. </w:t>
      </w:r>
      <w:r w:rsidRPr="00C137F6">
        <w:rPr>
          <w:rFonts w:ascii="Arial" w:hAnsi="Arial" w:cs="Arial"/>
          <w:sz w:val="24"/>
          <w:szCs w:val="24"/>
        </w:rPr>
        <w:t>prostá zápisu či výpisu ze schůze zastupitelstva</w:t>
      </w:r>
      <w:r w:rsidR="0041225C" w:rsidRPr="00C137F6">
        <w:rPr>
          <w:rFonts w:ascii="Arial" w:hAnsi="Arial" w:cs="Arial"/>
          <w:sz w:val="24"/>
          <w:szCs w:val="24"/>
        </w:rPr>
        <w:t xml:space="preserve"> </w:t>
      </w:r>
      <w:r w:rsidR="00BA36B7" w:rsidRPr="00C137F6">
        <w:rPr>
          <w:rFonts w:ascii="Arial" w:hAnsi="Arial" w:cs="Arial"/>
          <w:sz w:val="24"/>
          <w:szCs w:val="24"/>
        </w:rPr>
        <w:t>obce o </w:t>
      </w:r>
      <w:r w:rsidRPr="00C137F6">
        <w:rPr>
          <w:rFonts w:ascii="Arial" w:hAnsi="Arial" w:cs="Arial"/>
          <w:sz w:val="24"/>
          <w:szCs w:val="24"/>
        </w:rPr>
        <w:t xml:space="preserve">zvolení starosty, </w:t>
      </w:r>
      <w:r w:rsidR="00C07A48" w:rsidRPr="00C137F6">
        <w:rPr>
          <w:rFonts w:ascii="Arial" w:hAnsi="Arial" w:cs="Arial"/>
          <w:sz w:val="24"/>
          <w:szCs w:val="24"/>
        </w:rPr>
        <w:t xml:space="preserve">v případě, </w:t>
      </w:r>
      <w:r w:rsidR="00733832" w:rsidRPr="00C137F6">
        <w:rPr>
          <w:rFonts w:ascii="Arial" w:hAnsi="Arial" w:cs="Arial"/>
          <w:sz w:val="24"/>
          <w:szCs w:val="24"/>
        </w:rPr>
        <w:br/>
      </w:r>
      <w:r w:rsidR="00C07A48" w:rsidRPr="00C137F6">
        <w:rPr>
          <w:rFonts w:ascii="Arial" w:hAnsi="Arial" w:cs="Arial"/>
          <w:sz w:val="24"/>
          <w:szCs w:val="24"/>
        </w:rPr>
        <w:t>že toto oprávnění není výslovně uvedeno v dokladu o právní osobnosti,</w:t>
      </w:r>
    </w:p>
    <w:p w14:paraId="67440CC5" w14:textId="2F485D67" w:rsidR="00691685" w:rsidRPr="00C137F6" w:rsidRDefault="00D9748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  <w:u w:val="single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  <w:r w:rsidRPr="00C137F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8AACF30" w14:textId="74C60256" w:rsidR="00691685" w:rsidRPr="00C137F6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C137F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225285A2" w14:textId="6B54A024" w:rsidR="00493B6B" w:rsidRPr="00C137F6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č. 1 – 5 dle těchto bodů doloženy k žádosti o dotaci v předchozím roce a nedošlo v nich k žádné změně, lze je nahradit čestným prohlášením), viz Příloha č. 1 žádosti, </w:t>
      </w:r>
    </w:p>
    <w:p w14:paraId="7372ACAA" w14:textId="0BCFEFE4" w:rsidR="008F5B63" w:rsidRPr="00C137F6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14A77EF" w:rsidR="00691685" w:rsidRPr="00712126" w:rsidRDefault="00D97483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12126">
        <w:rPr>
          <w:rFonts w:ascii="Arial" w:hAnsi="Arial" w:cs="Arial"/>
          <w:sz w:val="24"/>
          <w:szCs w:val="24"/>
        </w:rPr>
        <w:t xml:space="preserve">nepožaduje se </w:t>
      </w:r>
    </w:p>
    <w:p w14:paraId="6F6DA106" w14:textId="28BEA6AC" w:rsidR="003B52DF" w:rsidRPr="00C137F6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26160BEA" w:rsidR="005E6693" w:rsidRPr="00C137F6" w:rsidRDefault="00D9748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1731FE2E" w14:textId="6759E8D0" w:rsidR="008F5B63" w:rsidRPr="00C137F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rozpočet celkových předpokl</w:t>
      </w:r>
      <w:r w:rsidR="00C137F6">
        <w:rPr>
          <w:rFonts w:ascii="Arial" w:hAnsi="Arial" w:cs="Arial"/>
          <w:sz w:val="24"/>
          <w:szCs w:val="24"/>
        </w:rPr>
        <w:t>ádaných uznatelných výdajů akce</w:t>
      </w:r>
      <w:r w:rsidRPr="00C137F6">
        <w:rPr>
          <w:rFonts w:ascii="Arial" w:hAnsi="Arial" w:cs="Arial"/>
          <w:sz w:val="24"/>
          <w:szCs w:val="24"/>
        </w:rPr>
        <w:t xml:space="preserve"> – viz Příloha č. 6 žádosti, </w:t>
      </w:r>
    </w:p>
    <w:p w14:paraId="73F0F8A2" w14:textId="24305050" w:rsidR="008F5B63" w:rsidRPr="00C137F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C137F6">
        <w:rPr>
          <w:rFonts w:ascii="Arial" w:hAnsi="Arial" w:cs="Arial"/>
          <w:sz w:val="24"/>
          <w:szCs w:val="24"/>
        </w:rPr>
        <w:t>,</w:t>
      </w:r>
      <w:r w:rsidRPr="00C137F6">
        <w:rPr>
          <w:rFonts w:ascii="Arial" w:hAnsi="Arial" w:cs="Arial"/>
          <w:sz w:val="24"/>
          <w:szCs w:val="24"/>
        </w:rPr>
        <w:t xml:space="preserve"> </w:t>
      </w:r>
    </w:p>
    <w:p w14:paraId="7E7F5B74" w14:textId="61B13BC2" w:rsidR="00920F7A" w:rsidRPr="00C137F6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C137F6">
        <w:rPr>
          <w:rFonts w:ascii="Arial" w:hAnsi="Arial" w:cs="Arial"/>
          <w:sz w:val="24"/>
          <w:szCs w:val="24"/>
        </w:rPr>
        <w:t>,</w:t>
      </w:r>
      <w:r w:rsidRPr="00C137F6">
        <w:rPr>
          <w:rFonts w:ascii="Arial" w:hAnsi="Arial" w:cs="Arial"/>
          <w:sz w:val="24"/>
          <w:szCs w:val="24"/>
        </w:rPr>
        <w:t xml:space="preserve"> </w:t>
      </w:r>
      <w:r w:rsidR="00D97483" w:rsidRPr="00C137F6">
        <w:rPr>
          <w:rFonts w:ascii="Arial" w:hAnsi="Arial" w:cs="Arial"/>
          <w:sz w:val="24"/>
          <w:szCs w:val="24"/>
        </w:rPr>
        <w:t>pouze v případě, že vodní dílo p</w:t>
      </w:r>
      <w:r w:rsidR="00B84A9D" w:rsidRPr="00C137F6">
        <w:rPr>
          <w:rFonts w:ascii="Arial" w:hAnsi="Arial" w:cs="Arial"/>
          <w:sz w:val="24"/>
          <w:szCs w:val="24"/>
        </w:rPr>
        <w:t>odléhá zápisu v katastru nemovitostí (vyhláška č. 23/2007 Sb., o podrobnostech vymezení vodních děl evidovaných v katastru nemovitosti České republiky</w:t>
      </w:r>
      <w:r w:rsidR="0069191E" w:rsidRPr="00C137F6">
        <w:rPr>
          <w:rFonts w:ascii="Arial" w:hAnsi="Arial" w:cs="Arial"/>
          <w:sz w:val="24"/>
          <w:szCs w:val="24"/>
        </w:rPr>
        <w:t>),</w:t>
      </w:r>
    </w:p>
    <w:p w14:paraId="76E4740A" w14:textId="5C4A5796" w:rsidR="00854DF0" w:rsidRPr="00C137F6" w:rsidRDefault="00086C9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35448A10" w14:textId="157FC697" w:rsidR="00D13F18" w:rsidRPr="00C137F6" w:rsidRDefault="00086C9A" w:rsidP="008B229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61E44D80" w14:textId="3ABBE0C3" w:rsidR="00B01BCF" w:rsidRPr="00C137F6" w:rsidRDefault="00086C9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394BF7A1" w14:textId="4A565C1B" w:rsidR="004410CD" w:rsidRPr="00C137F6" w:rsidRDefault="00471E1C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zjednodušená projektová dokumentace (situace, technická zpráva, souhrnný rozpočet akce), která umožní posouzení navrhovaného opatření, které má být předmětem podpory, z hlediska technického, ekonomického a ekologického, a dále průběžnou a závěrečnou kontrolu jeho realizace,</w:t>
      </w:r>
    </w:p>
    <w:p w14:paraId="70B7DE38" w14:textId="77777777" w:rsidR="000C1807" w:rsidRPr="00C137F6" w:rsidRDefault="004410C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rozpočet </w:t>
      </w:r>
      <w:r w:rsidR="008B207B" w:rsidRPr="00C137F6">
        <w:rPr>
          <w:rFonts w:ascii="Arial" w:hAnsi="Arial" w:cs="Arial"/>
          <w:sz w:val="24"/>
          <w:szCs w:val="24"/>
        </w:rPr>
        <w:t>akce a údaje o zdrojích financování</w:t>
      </w:r>
    </w:p>
    <w:p w14:paraId="6888B63C" w14:textId="41DAC7E1" w:rsidR="000C1807" w:rsidRPr="00C137F6" w:rsidRDefault="000C180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 případě dotace na řešení mimořádné situace na infrastruktuře vodovodů nebo kanalizací pro veřejnou potřebu – sdělení o výši ceny </w:t>
      </w:r>
      <w:r w:rsidR="00733832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pro vodné nebo stočné pro daný kalendářní rok (stanovené dle vyhlášky č. 428/2001 Sb., kterou se provádí zákon č. 274/2001 Sb., o vodovodech a kanalizacích pro veřejnou potřebu, ve znění pozdějších předpisů),</w:t>
      </w:r>
    </w:p>
    <w:p w14:paraId="11BCC362" w14:textId="66A9D5F6" w:rsidR="005A057F" w:rsidRPr="00C137F6" w:rsidRDefault="000C180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v případě žádosti o dotaci na odstranění povodňových škod – zápis z povodňové komise o povodni, postačuje prostá kopie,</w:t>
      </w:r>
    </w:p>
    <w:p w14:paraId="0511E10D" w14:textId="736119AA" w:rsidR="00913EBD" w:rsidRPr="00C137F6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lastRenderedPageBreak/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C137F6">
        <w:rPr>
          <w:rFonts w:ascii="Arial" w:hAnsi="Arial" w:cs="Arial"/>
          <w:sz w:val="24"/>
          <w:szCs w:val="24"/>
        </w:rPr>
        <w:t xml:space="preserve">identifikaci </w:t>
      </w:r>
      <w:r w:rsidRPr="00C137F6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C137F6">
        <w:rPr>
          <w:rFonts w:ascii="Arial" w:hAnsi="Arial" w:cs="Arial"/>
          <w:sz w:val="24"/>
          <w:szCs w:val="24"/>
        </w:rPr>
        <w:t>la žádost již doložena (číslo a </w:t>
      </w:r>
      <w:r w:rsidRPr="00C137F6">
        <w:rPr>
          <w:rFonts w:ascii="Arial" w:hAnsi="Arial" w:cs="Arial"/>
          <w:sz w:val="24"/>
          <w:szCs w:val="24"/>
        </w:rPr>
        <w:t>název</w:t>
      </w:r>
      <w:r w:rsidR="002C76A3" w:rsidRPr="00C137F6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52CAA24" w14:textId="50C37025" w:rsidR="002D7DC4" w:rsidRPr="002D7DC4" w:rsidRDefault="002D7DC4" w:rsidP="002D7DC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03B09">
        <w:rPr>
          <w:rFonts w:ascii="Arial" w:hAnsi="Arial" w:cs="Arial"/>
          <w:sz w:val="24"/>
          <w:szCs w:val="24"/>
          <w:highlight w:val="lightGray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D7DC4">
        <w:rPr>
          <w:rFonts w:ascii="Arial" w:hAnsi="Arial" w:cs="Arial"/>
          <w:b/>
          <w:sz w:val="24"/>
          <w:szCs w:val="24"/>
        </w:rPr>
        <w:t>a nebudou vyhlašovateli</w:t>
      </w:r>
      <w:r w:rsidRPr="002D7DC4">
        <w:rPr>
          <w:rFonts w:ascii="Arial" w:hAnsi="Arial" w:cs="Arial"/>
          <w:sz w:val="24"/>
          <w:szCs w:val="24"/>
        </w:rPr>
        <w:t xml:space="preserve"> dotačního programu </w:t>
      </w:r>
      <w:r w:rsidRPr="002D7DC4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2D7DC4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2D7DC4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D7DC4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2D7DC4">
        <w:rPr>
          <w:rFonts w:ascii="Arial" w:hAnsi="Arial" w:cs="Arial"/>
          <w:b/>
          <w:sz w:val="24"/>
          <w:szCs w:val="24"/>
        </w:rPr>
        <w:t>v elektronické podobě</w:t>
      </w:r>
      <w:r w:rsidRPr="002D7DC4">
        <w:rPr>
          <w:rFonts w:ascii="Arial" w:hAnsi="Arial" w:cs="Arial"/>
          <w:sz w:val="24"/>
          <w:szCs w:val="24"/>
        </w:rPr>
        <w:t xml:space="preserve">  [e-podatelna, datová schránka, rozhraní/portál pro občana] do 23:59 hod. </w:t>
      </w:r>
      <w:r w:rsidRPr="002D7DC4">
        <w:rPr>
          <w:rFonts w:ascii="Arial" w:hAnsi="Arial" w:cs="Arial"/>
          <w:b/>
          <w:sz w:val="24"/>
          <w:szCs w:val="24"/>
        </w:rPr>
        <w:t>posledního dne lhůty</w:t>
      </w:r>
      <w:r w:rsidRPr="002D7DC4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2D7DC4">
        <w:rPr>
          <w:rFonts w:ascii="Arial" w:hAnsi="Arial" w:cs="Arial"/>
          <w:b/>
          <w:sz w:val="24"/>
          <w:szCs w:val="24"/>
        </w:rPr>
        <w:t>osobního podání</w:t>
      </w:r>
      <w:r w:rsidRPr="002D7DC4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2D7DC4">
        <w:rPr>
          <w:rFonts w:ascii="Arial" w:hAnsi="Arial" w:cs="Arial"/>
          <w:b/>
          <w:sz w:val="24"/>
          <w:szCs w:val="24"/>
        </w:rPr>
        <w:t>do 12:00 hod. posledního dne lhůty</w:t>
      </w:r>
      <w:r w:rsidRPr="002D7DC4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2D7DC4">
        <w:rPr>
          <w:rFonts w:ascii="Arial" w:hAnsi="Arial" w:cs="Arial"/>
          <w:b/>
          <w:sz w:val="24"/>
          <w:szCs w:val="24"/>
        </w:rPr>
        <w:t>poštovní přepravy</w:t>
      </w:r>
      <w:r w:rsidRPr="002D7DC4">
        <w:rPr>
          <w:rFonts w:ascii="Arial" w:hAnsi="Arial" w:cs="Arial"/>
          <w:sz w:val="24"/>
          <w:szCs w:val="24"/>
        </w:rPr>
        <w:t xml:space="preserve"> nebyla zásilka nejpozději </w:t>
      </w:r>
      <w:r w:rsidRPr="002D7DC4">
        <w:rPr>
          <w:rFonts w:ascii="Arial" w:hAnsi="Arial" w:cs="Arial"/>
          <w:b/>
          <w:sz w:val="24"/>
          <w:szCs w:val="24"/>
        </w:rPr>
        <w:t>poslední den lhůty</w:t>
      </w:r>
      <w:r w:rsidRPr="002D7DC4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B40EF63" w:rsidR="008617FB" w:rsidRPr="00C137F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137F6">
        <w:rPr>
          <w:rFonts w:ascii="Arial" w:hAnsi="Arial" w:cs="Arial"/>
          <w:sz w:val="24"/>
          <w:szCs w:val="24"/>
        </w:rPr>
        <w:t>programu</w:t>
      </w:r>
      <w:r w:rsidR="00723DF8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C137F6">
        <w:rPr>
          <w:rFonts w:ascii="Arial" w:hAnsi="Arial" w:cs="Arial"/>
          <w:sz w:val="24"/>
          <w:szCs w:val="24"/>
        </w:rPr>
        <w:t>(</w:t>
      </w:r>
      <w:r w:rsidR="00C137F6" w:rsidRPr="00C137F6">
        <w:rPr>
          <w:rFonts w:ascii="Arial" w:hAnsi="Arial" w:cs="Arial"/>
          <w:sz w:val="24"/>
          <w:szCs w:val="24"/>
        </w:rPr>
        <w:t>akce</w:t>
      </w:r>
      <w:r w:rsidR="009C3BC6" w:rsidRPr="00C137F6">
        <w:rPr>
          <w:rFonts w:ascii="Arial" w:hAnsi="Arial" w:cs="Arial"/>
          <w:sz w:val="24"/>
          <w:szCs w:val="24"/>
        </w:rPr>
        <w:t>)</w:t>
      </w:r>
      <w:r w:rsidRPr="00C137F6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C137F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C137F6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budou podány ž</w:t>
      </w:r>
      <w:r w:rsidR="005F4783" w:rsidRPr="00C137F6">
        <w:rPr>
          <w:rFonts w:ascii="Arial" w:hAnsi="Arial" w:cs="Arial"/>
          <w:sz w:val="24"/>
          <w:szCs w:val="24"/>
        </w:rPr>
        <w:t>adatel</w:t>
      </w:r>
      <w:r w:rsidRPr="00C137F6">
        <w:rPr>
          <w:rFonts w:ascii="Arial" w:hAnsi="Arial" w:cs="Arial"/>
          <w:sz w:val="24"/>
          <w:szCs w:val="24"/>
        </w:rPr>
        <w:t xml:space="preserve">em, který </w:t>
      </w:r>
      <w:r w:rsidR="005F4783" w:rsidRPr="00C137F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C137F6">
        <w:rPr>
          <w:rFonts w:ascii="Arial" w:hAnsi="Arial" w:cs="Arial"/>
          <w:sz w:val="24"/>
          <w:szCs w:val="24"/>
        </w:rPr>
        <w:t>v </w:t>
      </w:r>
      <w:r w:rsidR="005F4783" w:rsidRPr="00C137F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C137F6">
          <w:rPr>
            <w:rFonts w:ascii="Arial" w:hAnsi="Arial" w:cs="Arial"/>
            <w:sz w:val="24"/>
            <w:szCs w:val="24"/>
          </w:rPr>
          <w:t>3</w:t>
        </w:r>
      </w:hyperlink>
      <w:r w:rsidR="00786F00" w:rsidRPr="00C137F6">
        <w:rPr>
          <w:rFonts w:ascii="Arial" w:hAnsi="Arial" w:cs="Arial"/>
          <w:sz w:val="24"/>
          <w:szCs w:val="24"/>
        </w:rPr>
        <w:t>,</w:t>
      </w:r>
    </w:p>
    <w:p w14:paraId="153AD1FA" w14:textId="091DB0E0" w:rsidR="004E6F86" w:rsidRPr="00C137F6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budou podány žadatelem –</w:t>
      </w:r>
      <w:r w:rsidR="00890A18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>obcí</w:t>
      </w:r>
      <w:r w:rsidR="009237D8" w:rsidRPr="00C137F6">
        <w:rPr>
          <w:rFonts w:ascii="Arial" w:hAnsi="Arial" w:cs="Arial"/>
          <w:sz w:val="24"/>
          <w:szCs w:val="24"/>
        </w:rPr>
        <w:t xml:space="preserve">, </w:t>
      </w:r>
      <w:r w:rsidRPr="00C137F6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C137F6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C137F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D39C78C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ab/>
      </w:r>
      <w:r w:rsidR="00691685" w:rsidRPr="00C137F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0C1807" w:rsidRPr="00C137F6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027869" w:rsidRPr="00C137F6">
        <w:rPr>
          <w:rStyle w:val="Odkaznakoment"/>
          <w:rFonts w:ascii="Arial" w:hAnsi="Arial" w:cs="Arial"/>
          <w:sz w:val="24"/>
          <w:szCs w:val="24"/>
        </w:rPr>
        <w:t>písemně prostřednictvím datové schránky do 15 dnů ode dne podání žádosti</w:t>
      </w:r>
      <w:r w:rsidR="00027869" w:rsidRPr="003F78F3">
        <w:rPr>
          <w:rStyle w:val="Odkaznakoment"/>
          <w:rFonts w:ascii="Arial" w:hAnsi="Arial" w:cs="Arial"/>
          <w:color w:val="FF0000"/>
          <w:sz w:val="24"/>
          <w:szCs w:val="24"/>
        </w:rPr>
        <w:t>.</w:t>
      </w:r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C137F6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2F78677" w:rsidR="00691685" w:rsidRPr="00C137F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C137F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137F6">
        <w:rPr>
          <w:rFonts w:ascii="Arial" w:hAnsi="Arial" w:cs="Arial"/>
          <w:sz w:val="24"/>
          <w:szCs w:val="24"/>
        </w:rPr>
        <w:t xml:space="preserve"> 8.5</w:t>
      </w:r>
      <w:r w:rsidRPr="00C137F6">
        <w:rPr>
          <w:rFonts w:ascii="Arial" w:hAnsi="Arial" w:cs="Arial"/>
          <w:sz w:val="24"/>
          <w:szCs w:val="24"/>
        </w:rPr>
        <w:t>,</w:t>
      </w:r>
      <w:r w:rsidR="00E357A6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 xml:space="preserve">avšak nesplňuje ostatní </w:t>
      </w:r>
      <w:r w:rsidRPr="00C137F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C137F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C137F6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C137F6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C137F6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C137F6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C137F6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C137F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C137F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137F6">
        <w:rPr>
          <w:rFonts w:ascii="Arial" w:hAnsi="Arial" w:cs="Arial"/>
          <w:sz w:val="24"/>
          <w:szCs w:val="24"/>
        </w:rPr>
        <w:t>napravil, a upozorní</w:t>
      </w:r>
      <w:r w:rsidRPr="00C137F6">
        <w:rPr>
          <w:rFonts w:ascii="Arial" w:hAnsi="Arial" w:cs="Arial"/>
          <w:sz w:val="24"/>
          <w:szCs w:val="24"/>
        </w:rPr>
        <w:t xml:space="preserve"> jej, že nebude-li žádost opravena </w:t>
      </w:r>
      <w:r w:rsidR="00733832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b/>
          <w:sz w:val="24"/>
          <w:szCs w:val="24"/>
        </w:rPr>
        <w:t>do</w:t>
      </w:r>
      <w:r w:rsidR="00D55E98" w:rsidRPr="00C137F6">
        <w:rPr>
          <w:rFonts w:ascii="Arial" w:hAnsi="Arial" w:cs="Arial"/>
          <w:b/>
          <w:sz w:val="24"/>
          <w:szCs w:val="24"/>
        </w:rPr>
        <w:t xml:space="preserve"> </w:t>
      </w:r>
      <w:r w:rsidR="00027869" w:rsidRPr="00C137F6">
        <w:rPr>
          <w:rFonts w:ascii="Arial" w:hAnsi="Arial" w:cs="Arial"/>
          <w:b/>
          <w:sz w:val="24"/>
          <w:szCs w:val="24"/>
        </w:rPr>
        <w:t>7</w:t>
      </w:r>
      <w:r w:rsidRPr="00C137F6">
        <w:rPr>
          <w:rFonts w:ascii="Arial" w:hAnsi="Arial" w:cs="Arial"/>
          <w:b/>
          <w:sz w:val="24"/>
          <w:szCs w:val="24"/>
        </w:rPr>
        <w:t> kalendářních dnů</w:t>
      </w:r>
      <w:r w:rsidRPr="00C137F6">
        <w:rPr>
          <w:rFonts w:ascii="Arial" w:hAnsi="Arial" w:cs="Arial"/>
          <w:sz w:val="24"/>
          <w:szCs w:val="24"/>
        </w:rPr>
        <w:t xml:space="preserve"> ode dne upozornění, </w:t>
      </w:r>
      <w:r w:rsidRPr="00C137F6">
        <w:rPr>
          <w:rFonts w:ascii="Arial" w:hAnsi="Arial" w:cs="Arial"/>
          <w:b/>
          <w:sz w:val="24"/>
          <w:szCs w:val="24"/>
        </w:rPr>
        <w:t>bude vyřazena z dalšího posuzování</w:t>
      </w:r>
      <w:r w:rsidRPr="00C137F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137F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CEE73C6" w:rsidR="00D55E98" w:rsidRPr="00C137F6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137F6">
        <w:rPr>
          <w:rFonts w:ascii="Arial" w:hAnsi="Arial" w:cs="Arial"/>
          <w:sz w:val="24"/>
          <w:szCs w:val="24"/>
        </w:rPr>
        <w:t>neprodleně po zjištění nedostatků</w:t>
      </w:r>
      <w:r w:rsidR="00BC618C" w:rsidRPr="00C137F6">
        <w:rPr>
          <w:rFonts w:ascii="Arial" w:hAnsi="Arial" w:cs="Arial"/>
          <w:sz w:val="24"/>
          <w:szCs w:val="24"/>
        </w:rPr>
        <w:t>, a to</w:t>
      </w:r>
      <w:r w:rsidR="00027869" w:rsidRPr="00C137F6">
        <w:rPr>
          <w:rFonts w:ascii="Arial" w:hAnsi="Arial" w:cs="Arial"/>
          <w:sz w:val="24"/>
          <w:szCs w:val="24"/>
        </w:rPr>
        <w:t xml:space="preserve"> </w:t>
      </w:r>
      <w:r w:rsidR="00F60BBA" w:rsidRPr="00C137F6">
        <w:rPr>
          <w:rFonts w:ascii="Arial" w:hAnsi="Arial" w:cs="Arial"/>
          <w:sz w:val="24"/>
          <w:szCs w:val="24"/>
        </w:rPr>
        <w:t>písemně prostřednictvím datové schránky</w:t>
      </w:r>
      <w:r w:rsidR="00027869" w:rsidRPr="00C137F6">
        <w:rPr>
          <w:rFonts w:ascii="Arial" w:hAnsi="Arial" w:cs="Arial"/>
          <w:sz w:val="24"/>
          <w:szCs w:val="24"/>
        </w:rPr>
        <w:t>.</w:t>
      </w:r>
      <w:r w:rsidR="009959C7" w:rsidRPr="00C137F6">
        <w:rPr>
          <w:rFonts w:ascii="Arial" w:hAnsi="Arial" w:cs="Arial"/>
          <w:sz w:val="24"/>
          <w:szCs w:val="24"/>
        </w:rPr>
        <w:t xml:space="preserve"> </w:t>
      </w:r>
    </w:p>
    <w:p w14:paraId="6F0D4C6C" w14:textId="79EB0C9F" w:rsidR="00D55E98" w:rsidRPr="008B2298" w:rsidRDefault="00D55E98" w:rsidP="00024896">
      <w:pPr>
        <w:tabs>
          <w:tab w:val="left" w:pos="709"/>
        </w:tabs>
        <w:ind w:hanging="72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7B6FD33" w:rsidR="00691685" w:rsidRPr="00C13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137F6">
        <w:rPr>
          <w:rFonts w:ascii="Arial" w:hAnsi="Arial" w:cs="Arial"/>
          <w:bCs/>
          <w:sz w:val="24"/>
          <w:szCs w:val="24"/>
        </w:rPr>
        <w:t>í jejich formální náležitosti a </w:t>
      </w:r>
      <w:r w:rsidRPr="00C137F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C137F6" w:rsidRPr="00C137F6">
        <w:rPr>
          <w:rFonts w:ascii="Arial" w:hAnsi="Arial" w:cs="Arial"/>
          <w:bCs/>
          <w:sz w:val="24"/>
          <w:szCs w:val="24"/>
        </w:rPr>
        <w:t>programu</w:t>
      </w:r>
      <w:r w:rsidRPr="00C137F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C137F6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="00BB79D0" w:rsidRPr="00C137F6">
        <w:rPr>
          <w:rFonts w:ascii="Arial" w:hAnsi="Arial" w:cs="Arial"/>
          <w:bCs/>
          <w:sz w:val="24"/>
          <w:szCs w:val="24"/>
        </w:rPr>
        <w:t>programu</w:t>
      </w:r>
      <w:r w:rsidRPr="00C137F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137F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C13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C137F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C137F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137F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C13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137F6">
        <w:rPr>
          <w:rFonts w:ascii="Arial" w:hAnsi="Arial" w:cs="Arial"/>
          <w:bCs/>
          <w:sz w:val="24"/>
          <w:szCs w:val="24"/>
        </w:rPr>
        <w:t>8.6</w:t>
      </w:r>
      <w:r w:rsidR="005500EE" w:rsidRPr="00C137F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C137F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D1F6F2E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  <w:r w:rsidR="001E2BC0" w:rsidRPr="00F80363">
        <w:rPr>
          <w:rFonts w:ascii="Arial" w:hAnsi="Arial" w:cs="Arial"/>
          <w:b/>
          <w:strike/>
          <w:color w:val="002060"/>
          <w:sz w:val="24"/>
          <w:szCs w:val="24"/>
        </w:rPr>
        <w:t xml:space="preserve"> </w:t>
      </w:r>
    </w:p>
    <w:p w14:paraId="741E9B52" w14:textId="7B384F77" w:rsidR="00E07BC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3A4D740E" w14:textId="77777777" w:rsidR="00712126" w:rsidRPr="006E3DEA" w:rsidRDefault="00712126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5004A60" w:rsidR="00E07BC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D7805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D7805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D7805">
        <w:rPr>
          <w:rFonts w:ascii="Arial" w:hAnsi="Arial" w:cs="Arial"/>
          <w:b/>
          <w:sz w:val="24"/>
          <w:szCs w:val="24"/>
        </w:rPr>
        <w:t>. D</w:t>
      </w:r>
      <w:r w:rsidR="00E07BCF" w:rsidRPr="006D7805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poradním orgánem – hodnotící </w:t>
      </w:r>
      <w:r w:rsidR="006D7805" w:rsidRPr="006D7805">
        <w:rPr>
          <w:rFonts w:ascii="Arial" w:hAnsi="Arial" w:cs="Arial"/>
          <w:b/>
          <w:sz w:val="24"/>
          <w:szCs w:val="24"/>
        </w:rPr>
        <w:t>Komisí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 Rad</w:t>
      </w:r>
      <w:r w:rsidR="006D7805" w:rsidRPr="006D7805">
        <w:rPr>
          <w:rFonts w:ascii="Arial" w:hAnsi="Arial" w:cs="Arial"/>
          <w:b/>
          <w:sz w:val="24"/>
          <w:szCs w:val="24"/>
        </w:rPr>
        <w:t>y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 Olomouckého kraje</w:t>
      </w:r>
      <w:r w:rsidR="006D7805" w:rsidRPr="006D7805">
        <w:rPr>
          <w:rFonts w:ascii="Arial" w:hAnsi="Arial" w:cs="Arial"/>
          <w:b/>
          <w:sz w:val="24"/>
          <w:szCs w:val="24"/>
        </w:rPr>
        <w:t xml:space="preserve"> pro životní prostředí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 </w:t>
      </w:r>
      <w:r w:rsidR="00E07BCF" w:rsidRPr="006D7805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D7805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38813381" w14:textId="6970F036" w:rsidR="006D7805" w:rsidRPr="00244348" w:rsidRDefault="006D7805" w:rsidP="009A0686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6D7805" w:rsidRPr="006D7805" w14:paraId="503D28BB" w14:textId="77777777" w:rsidTr="00093161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487BCB90" w14:textId="77777777" w:rsidR="009A0686" w:rsidRPr="006D7805" w:rsidRDefault="009A0686" w:rsidP="00093161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D7805" w:rsidRPr="006D7805" w14:paraId="61F6D7F1" w14:textId="77777777" w:rsidTr="00093161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55506A78" w14:textId="77777777" w:rsidR="009A0686" w:rsidRPr="006D7805" w:rsidRDefault="009A0686" w:rsidP="00093161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091163F3" w14:textId="77777777" w:rsidR="009A0686" w:rsidRPr="006D7805" w:rsidRDefault="009A0686" w:rsidP="00093161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7B341965" w14:textId="77777777" w:rsidR="009A0686" w:rsidRPr="006D7805" w:rsidRDefault="009A0686" w:rsidP="000931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BF39C5" w14:textId="77777777" w:rsidR="009A0686" w:rsidRPr="006D7805" w:rsidRDefault="009A0686" w:rsidP="00093161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D7805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7B17FAA0" w14:textId="77777777" w:rsidR="009A0686" w:rsidRPr="006D7805" w:rsidRDefault="009A0686" w:rsidP="00093161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MAXIMÁLNÍ POČET PŘIDĚLENÝCH BODŮ</w:t>
            </w:r>
          </w:p>
        </w:tc>
      </w:tr>
      <w:tr w:rsidR="006D7805" w:rsidRPr="006D7805" w14:paraId="70F21A33" w14:textId="77777777" w:rsidTr="00093161">
        <w:tc>
          <w:tcPr>
            <w:tcW w:w="1872" w:type="dxa"/>
          </w:tcPr>
          <w:p w14:paraId="55C7104A" w14:textId="77777777" w:rsidR="009A0686" w:rsidRPr="006D7805" w:rsidRDefault="009A0686" w:rsidP="00093161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14:paraId="50C8DB9F" w14:textId="77777777" w:rsidR="009A0686" w:rsidRPr="006D7805" w:rsidRDefault="009A0686" w:rsidP="00093161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 xml:space="preserve">Administrátor </w:t>
            </w:r>
          </w:p>
          <w:p w14:paraId="449E3C73" w14:textId="77777777" w:rsidR="009A0686" w:rsidRPr="006D7805" w:rsidRDefault="009A0686" w:rsidP="00093161">
            <w:pPr>
              <w:spacing w:before="120" w:after="120"/>
              <w:ind w:left="176" w:firstLine="0"/>
            </w:pPr>
            <w:r w:rsidRPr="006D7805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0581F1E1" w14:textId="040A70A2" w:rsidR="009A0686" w:rsidRPr="006D7805" w:rsidRDefault="009A0686" w:rsidP="00AD4400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3</w:t>
            </w:r>
          </w:p>
        </w:tc>
        <w:tc>
          <w:tcPr>
            <w:tcW w:w="2577" w:type="dxa"/>
            <w:vAlign w:val="center"/>
          </w:tcPr>
          <w:p w14:paraId="65290001" w14:textId="77777777" w:rsidR="009A0686" w:rsidRPr="006D7805" w:rsidRDefault="009A0686" w:rsidP="00093161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40</w:t>
            </w:r>
          </w:p>
        </w:tc>
      </w:tr>
      <w:tr w:rsidR="006D7805" w:rsidRPr="006D7805" w14:paraId="22CD55E3" w14:textId="77777777" w:rsidTr="00093161">
        <w:tc>
          <w:tcPr>
            <w:tcW w:w="1872" w:type="dxa"/>
          </w:tcPr>
          <w:p w14:paraId="12E40FB1" w14:textId="77777777" w:rsidR="009A0686" w:rsidRPr="006D7805" w:rsidRDefault="009A0686" w:rsidP="00093161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14:paraId="523AA1D6" w14:textId="36725702" w:rsidR="009A0686" w:rsidRPr="006D7805" w:rsidRDefault="006D7805" w:rsidP="006D7805">
            <w:pPr>
              <w:spacing w:before="120" w:after="120"/>
              <w:ind w:left="176" w:firstLine="0"/>
              <w:jc w:val="left"/>
              <w:rPr>
                <w:b/>
                <w:i/>
              </w:rPr>
            </w:pPr>
            <w:r>
              <w:rPr>
                <w:rFonts w:ascii="Arial" w:hAnsi="Arial" w:cs="Arial"/>
              </w:rPr>
              <w:t>Hodnotící komise – Komisí</w:t>
            </w:r>
            <w:r w:rsidR="009A0686" w:rsidRPr="006D7805">
              <w:rPr>
                <w:rFonts w:ascii="Arial" w:hAnsi="Arial" w:cs="Arial"/>
              </w:rPr>
              <w:t xml:space="preserve"> Rad</w:t>
            </w:r>
            <w:r>
              <w:rPr>
                <w:rFonts w:ascii="Arial" w:hAnsi="Arial" w:cs="Arial"/>
              </w:rPr>
              <w:t>y</w:t>
            </w:r>
            <w:r w:rsidR="009A0686" w:rsidRPr="006D7805">
              <w:rPr>
                <w:rFonts w:ascii="Arial" w:hAnsi="Arial" w:cs="Arial"/>
              </w:rPr>
              <w:t xml:space="preserve"> Olomouckého kraje  </w:t>
            </w:r>
            <w:r>
              <w:rPr>
                <w:rFonts w:ascii="Arial" w:hAnsi="Arial" w:cs="Arial"/>
              </w:rPr>
              <w:t>pro životní prostředí</w:t>
            </w:r>
          </w:p>
        </w:tc>
        <w:tc>
          <w:tcPr>
            <w:tcW w:w="1675" w:type="dxa"/>
            <w:vAlign w:val="center"/>
          </w:tcPr>
          <w:p w14:paraId="2E5F72D9" w14:textId="3DD092DC" w:rsidR="009A0686" w:rsidRPr="006D7805" w:rsidRDefault="009A0686" w:rsidP="00AD4400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3</w:t>
            </w:r>
          </w:p>
        </w:tc>
        <w:tc>
          <w:tcPr>
            <w:tcW w:w="2577" w:type="dxa"/>
            <w:vAlign w:val="center"/>
          </w:tcPr>
          <w:p w14:paraId="1EC5BC16" w14:textId="77777777" w:rsidR="009A0686" w:rsidRPr="006D7805" w:rsidRDefault="009A0686" w:rsidP="00093161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40</w:t>
            </w:r>
          </w:p>
        </w:tc>
      </w:tr>
      <w:tr w:rsidR="006D7805" w:rsidRPr="006D7805" w14:paraId="44944A90" w14:textId="77777777" w:rsidTr="00093161">
        <w:tc>
          <w:tcPr>
            <w:tcW w:w="1872" w:type="dxa"/>
            <w:tcBorders>
              <w:bottom w:val="single" w:sz="4" w:space="0" w:color="auto"/>
            </w:tcBorders>
          </w:tcPr>
          <w:p w14:paraId="3A649A4A" w14:textId="77777777" w:rsidR="009A0686" w:rsidRPr="006D7805" w:rsidRDefault="009A0686" w:rsidP="00093161">
            <w:pPr>
              <w:spacing w:before="120" w:after="120"/>
              <w:ind w:left="176" w:firstLine="0"/>
            </w:pPr>
            <w:r w:rsidRPr="006D7805">
              <w:rPr>
                <w:rFonts w:ascii="Arial" w:hAnsi="Arial" w:cs="Arial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7FE4E5" w14:textId="77777777" w:rsidR="009A0686" w:rsidRPr="006D7805" w:rsidRDefault="009A0686" w:rsidP="00093161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Rada Olomouckého kraje (ROK)</w:t>
            </w:r>
          </w:p>
          <w:p w14:paraId="057D0122" w14:textId="77777777" w:rsidR="009A0686" w:rsidRPr="006D7805" w:rsidRDefault="009A0686" w:rsidP="00093161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7A123F5" w14:textId="3E18FC50" w:rsidR="009A0686" w:rsidRPr="006D7805" w:rsidRDefault="009A0686" w:rsidP="00AD4400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6BED4717" w14:textId="77777777" w:rsidR="009A0686" w:rsidRPr="006D7805" w:rsidRDefault="009A0686" w:rsidP="000931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20</w:t>
            </w:r>
          </w:p>
          <w:p w14:paraId="08CD3C70" w14:textId="77777777" w:rsidR="009A0686" w:rsidRPr="006D7805" w:rsidRDefault="009A0686" w:rsidP="000931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DBD6DD" w14:textId="0346CCAB" w:rsidR="001B7215" w:rsidRDefault="001B7215" w:rsidP="009A0686">
      <w:pPr>
        <w:ind w:left="567" w:hanging="425"/>
        <w:rPr>
          <w:sz w:val="20"/>
          <w:szCs w:val="20"/>
        </w:rPr>
      </w:pPr>
    </w:p>
    <w:p w14:paraId="4E266B07" w14:textId="28BA9D79" w:rsidR="00AD4400" w:rsidRDefault="00AD4400" w:rsidP="009A0686">
      <w:pPr>
        <w:ind w:left="567" w:hanging="425"/>
        <w:rPr>
          <w:sz w:val="20"/>
          <w:szCs w:val="20"/>
        </w:rPr>
      </w:pPr>
    </w:p>
    <w:p w14:paraId="1A380326" w14:textId="19DD2FB4" w:rsidR="00AD4400" w:rsidRDefault="00AD4400" w:rsidP="009A0686">
      <w:pPr>
        <w:ind w:left="567" w:hanging="425"/>
        <w:rPr>
          <w:sz w:val="20"/>
          <w:szCs w:val="20"/>
        </w:rPr>
      </w:pPr>
    </w:p>
    <w:p w14:paraId="557BD8BE" w14:textId="77777777" w:rsidR="00AD4400" w:rsidRPr="006D7805" w:rsidRDefault="00AD4400" w:rsidP="009A0686">
      <w:pPr>
        <w:ind w:left="567" w:hanging="425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6D7805" w:rsidRPr="006D7805" w14:paraId="6466675F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24C70ACC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2F5F8E6" w14:textId="77777777" w:rsidR="009A0686" w:rsidRPr="006D7805" w:rsidRDefault="009A0686" w:rsidP="00093161">
            <w:pPr>
              <w:spacing w:line="256" w:lineRule="auto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</w:p>
          <w:p w14:paraId="315A394A" w14:textId="77777777" w:rsidR="009A0686" w:rsidRPr="006D7805" w:rsidRDefault="009A0686" w:rsidP="00093161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D54AC6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  <w:tr w:rsidR="006D7805" w:rsidRPr="006D7805" w14:paraId="003366A4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479888D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1C69E6F" w14:textId="77777777" w:rsidR="009A0686" w:rsidRPr="006D7805" w:rsidRDefault="009A0686" w:rsidP="00093161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BB8EB9A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  <w:tr w:rsidR="006D7805" w:rsidRPr="006D7805" w14:paraId="397B3CD1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4EF5401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1A7EFF9" w14:textId="77777777" w:rsidR="009A0686" w:rsidRPr="006D7805" w:rsidRDefault="009A0686" w:rsidP="00093161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eastAsia="Calibri" w:hAnsi="Arial" w:cs="Arial"/>
                <w:strike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Velikost žadatele (obce)  – počet obyvatel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2ADE7DF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Počet</w:t>
            </w:r>
          </w:p>
          <w:p w14:paraId="34A5034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4BDA1273" w14:textId="77777777" w:rsidTr="00093161">
        <w:trPr>
          <w:trHeight w:val="523"/>
        </w:trPr>
        <w:tc>
          <w:tcPr>
            <w:tcW w:w="738" w:type="dxa"/>
            <w:shd w:val="clear" w:color="auto" w:fill="auto"/>
            <w:vAlign w:val="center"/>
          </w:tcPr>
          <w:p w14:paraId="47D8F41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9191236" w14:textId="77777777" w:rsidR="009A0686" w:rsidRPr="006D7805" w:rsidRDefault="009A0686" w:rsidP="009A0686">
            <w:pPr>
              <w:numPr>
                <w:ilvl w:val="0"/>
                <w:numId w:val="49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Do 500</w:t>
            </w:r>
          </w:p>
          <w:p w14:paraId="01DC8520" w14:textId="77777777" w:rsidR="009A0686" w:rsidRPr="006D7805" w:rsidRDefault="009A0686" w:rsidP="009A0686">
            <w:pPr>
              <w:numPr>
                <w:ilvl w:val="0"/>
                <w:numId w:val="49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501–1000</w:t>
            </w:r>
          </w:p>
          <w:p w14:paraId="03EBD87F" w14:textId="77777777" w:rsidR="009A0686" w:rsidRPr="006D7805" w:rsidRDefault="009A0686" w:rsidP="009A0686">
            <w:pPr>
              <w:numPr>
                <w:ilvl w:val="0"/>
                <w:numId w:val="49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1001–2000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DD38A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06D28E0A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569FCF2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6D7805" w:rsidRPr="006D7805" w14:paraId="0287EFB6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08029ECC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792A37E" w14:textId="77777777" w:rsidR="009A0686" w:rsidRPr="006D7805" w:rsidRDefault="009A0686" w:rsidP="00093161">
            <w:pPr>
              <w:autoSpaceDE w:val="0"/>
              <w:autoSpaceDN w:val="0"/>
              <w:spacing w:before="120" w:after="120" w:line="252" w:lineRule="auto"/>
              <w:ind w:left="175" w:hanging="44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Výše požadované dotace (požadovaná dotace/celkové předpokládané uznatelné výdaje akce)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F96F92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Počet</w:t>
            </w:r>
          </w:p>
          <w:p w14:paraId="5DE0577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4158598A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3403C22E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F3D26DF" w14:textId="77777777" w:rsidR="009A0686" w:rsidRPr="006D7805" w:rsidRDefault="009A0686" w:rsidP="009A0686">
            <w:pPr>
              <w:numPr>
                <w:ilvl w:val="0"/>
                <w:numId w:val="50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Do 30 % včetně z celkových uznatelných výdajů projektu</w:t>
            </w:r>
          </w:p>
          <w:p w14:paraId="3809006B" w14:textId="77777777" w:rsidR="009A0686" w:rsidRPr="006D7805" w:rsidRDefault="009A0686" w:rsidP="009A0686">
            <w:pPr>
              <w:numPr>
                <w:ilvl w:val="0"/>
                <w:numId w:val="50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31 – 40 % z celkových uznatelných výdajů projektu</w:t>
            </w:r>
          </w:p>
          <w:p w14:paraId="4C61E6AE" w14:textId="77777777" w:rsidR="009A0686" w:rsidRPr="006D7805" w:rsidRDefault="009A0686" w:rsidP="009A0686">
            <w:pPr>
              <w:numPr>
                <w:ilvl w:val="0"/>
                <w:numId w:val="50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41 – 50 % a více z celkových uznatelných výdajů projektu</w:t>
            </w:r>
          </w:p>
        </w:tc>
        <w:tc>
          <w:tcPr>
            <w:tcW w:w="1052" w:type="dxa"/>
            <w:shd w:val="clear" w:color="auto" w:fill="auto"/>
          </w:tcPr>
          <w:p w14:paraId="1B6DD7FB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600373E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7F8235D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6D7805" w:rsidRPr="006D7805" w14:paraId="51DB21F6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14:paraId="756FD447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14:paraId="5E2F9D21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68" w:hanging="68"/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Počet poskytnutých dotací žadateli v rámci tohoto dotačního programu od roku 2015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ABE63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Počet</w:t>
            </w:r>
          </w:p>
          <w:p w14:paraId="54AB7CAF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4CD7CB6B" w14:textId="77777777" w:rsidTr="00093161">
        <w:trPr>
          <w:trHeight w:val="20"/>
        </w:trPr>
        <w:tc>
          <w:tcPr>
            <w:tcW w:w="738" w:type="dxa"/>
            <w:shd w:val="clear" w:color="auto" w:fill="auto"/>
            <w:vAlign w:val="center"/>
          </w:tcPr>
          <w:p w14:paraId="5EB2B2C8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8818963" w14:textId="77777777" w:rsidR="009A0686" w:rsidRPr="006D7805" w:rsidRDefault="009A0686" w:rsidP="009A0686">
            <w:pPr>
              <w:pStyle w:val="Odstavecseseznamem"/>
              <w:numPr>
                <w:ilvl w:val="0"/>
                <w:numId w:val="53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459" w:hanging="284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  <w:p w14:paraId="6C804F90" w14:textId="77777777" w:rsidR="009A0686" w:rsidRPr="006D7805" w:rsidRDefault="009A0686" w:rsidP="009A0686">
            <w:pPr>
              <w:numPr>
                <w:ilvl w:val="0"/>
                <w:numId w:val="5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459" w:hanging="284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 – 2</w:t>
            </w:r>
          </w:p>
          <w:p w14:paraId="117934C9" w14:textId="77777777" w:rsidR="009A0686" w:rsidRPr="006D7805" w:rsidRDefault="009A0686" w:rsidP="009A0686">
            <w:pPr>
              <w:numPr>
                <w:ilvl w:val="0"/>
                <w:numId w:val="5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459" w:hanging="284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3 - 4</w:t>
            </w:r>
          </w:p>
        </w:tc>
        <w:tc>
          <w:tcPr>
            <w:tcW w:w="1052" w:type="dxa"/>
            <w:shd w:val="clear" w:color="auto" w:fill="auto"/>
          </w:tcPr>
          <w:p w14:paraId="71EAC507" w14:textId="4046CCCE" w:rsidR="009A0686" w:rsidRPr="006D7805" w:rsidRDefault="009A0686" w:rsidP="005C16A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56959EB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44F6D86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6D7805" w:rsidRPr="006D7805" w14:paraId="18E361E9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0DA39AF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87CE06D" w14:textId="77777777" w:rsidR="009A0686" w:rsidRPr="006D7805" w:rsidRDefault="009A0686" w:rsidP="0009316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definuje</w:t>
            </w:r>
            <w:proofErr w:type="gramEnd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Jedná</w:t>
            </w:r>
            <w:proofErr w:type="gramEnd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9BAA89D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D7805" w:rsidRPr="006D7805" w14:paraId="251477C2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14:paraId="662FD71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14:paraId="545ACCEB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Technicko</w:t>
            </w:r>
            <w:proofErr w:type="spellEnd"/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ekonomická úroveň navržených opatření</w:t>
            </w:r>
          </w:p>
          <w:p w14:paraId="3A74251E" w14:textId="77777777" w:rsidR="009A0686" w:rsidRPr="006D7805" w:rsidRDefault="009A0686" w:rsidP="00093161">
            <w:pPr>
              <w:ind w:left="0" w:firstLine="0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(je posuzována dle Metodického pokynu </w:t>
            </w:r>
            <w:proofErr w:type="spellStart"/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Mze</w:t>
            </w:r>
            <w:proofErr w:type="spellEnd"/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4C0D04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Počet </w:t>
            </w:r>
          </w:p>
          <w:p w14:paraId="44023E1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14DFAFF8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1D4315EF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1AD3E1A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výdaje odpovídají obvyklým cenám za navržené řešení a rozsah prací v porovnání s akcemi obdobného charakteru.</w:t>
            </w:r>
          </w:p>
          <w:p w14:paraId="5E3441D6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shd w:val="clear" w:color="auto" w:fill="auto"/>
          </w:tcPr>
          <w:p w14:paraId="15CE992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1D5D139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72C834B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9A8B5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6D7805" w:rsidRPr="006D7805" w14:paraId="2D620525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646E752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C90BAD2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5" w:hanging="4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Výše vodného nebo stočného dle předmětu podpory v přepočtu k průměrné realizované ceně (PRC) vodného nebo stočného na území Olomouckého kraje</w:t>
            </w:r>
          </w:p>
        </w:tc>
        <w:tc>
          <w:tcPr>
            <w:tcW w:w="1052" w:type="dxa"/>
            <w:shd w:val="clear" w:color="auto" w:fill="auto"/>
          </w:tcPr>
          <w:p w14:paraId="575BF4D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Počet </w:t>
            </w:r>
          </w:p>
          <w:p w14:paraId="7DCC9AF8" w14:textId="77777777" w:rsidR="009A0686" w:rsidRPr="006D7805" w:rsidRDefault="009A0686" w:rsidP="000931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674F146D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246C296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47CD012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75 – 100 % PRC a více</w:t>
            </w:r>
          </w:p>
          <w:p w14:paraId="23472E37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50 – 75 % PRC včetně</w:t>
            </w:r>
          </w:p>
          <w:p w14:paraId="7CC4A821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Do 50 % PRC včetně</w:t>
            </w:r>
          </w:p>
        </w:tc>
        <w:tc>
          <w:tcPr>
            <w:tcW w:w="1052" w:type="dxa"/>
            <w:shd w:val="clear" w:color="auto" w:fill="auto"/>
          </w:tcPr>
          <w:p w14:paraId="1F72E40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15A221D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7F89A9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6D7805" w:rsidRPr="006D7805" w14:paraId="42226E02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5FCF92AE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93B0B6E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Umístění stavby v území</w:t>
            </w:r>
          </w:p>
        </w:tc>
        <w:tc>
          <w:tcPr>
            <w:tcW w:w="1052" w:type="dxa"/>
            <w:shd w:val="clear" w:color="auto" w:fill="auto"/>
          </w:tcPr>
          <w:p w14:paraId="29325C3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</w:t>
            </w:r>
          </w:p>
          <w:p w14:paraId="0C08A15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bodů</w:t>
            </w:r>
          </w:p>
        </w:tc>
      </w:tr>
      <w:tr w:rsidR="006D7805" w:rsidRPr="006D7805" w14:paraId="5AFA994E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3DE30FAE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4ADD4E97" w14:textId="77777777" w:rsidR="009A0686" w:rsidRPr="006D7805" w:rsidRDefault="009A0686" w:rsidP="008B2298">
            <w:pPr>
              <w:numPr>
                <w:ilvl w:val="0"/>
                <w:numId w:val="47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271CE287" w14:textId="77777777" w:rsidR="009A0686" w:rsidRPr="006D7805" w:rsidRDefault="009A0686" w:rsidP="008B2298">
            <w:pPr>
              <w:numPr>
                <w:ilvl w:val="0"/>
                <w:numId w:val="47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akce je umístěna na zvláště chráněném území dle zákona č. 114/1992 Sb., o ochraně přírody a krajiny (CHKO Jeseníky nebo CHKO Litovelské Pomoraví).</w:t>
            </w:r>
          </w:p>
          <w:p w14:paraId="1A2B2F8F" w14:textId="77777777" w:rsidR="009A0686" w:rsidRPr="006D7805" w:rsidRDefault="009A0686" w:rsidP="008B2298">
            <w:pPr>
              <w:numPr>
                <w:ilvl w:val="0"/>
                <w:numId w:val="47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není umístěna v území požívající výše uvedené ochrany (není v CHOPAV, OPVZ, atd.)</w:t>
            </w:r>
          </w:p>
        </w:tc>
        <w:tc>
          <w:tcPr>
            <w:tcW w:w="1052" w:type="dxa"/>
            <w:shd w:val="clear" w:color="auto" w:fill="auto"/>
          </w:tcPr>
          <w:p w14:paraId="0870EF57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F9A87D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165A158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F8AE6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746FDB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197FD84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89804BD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D7805" w:rsidRPr="006D7805" w14:paraId="15E77490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5AD82C9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C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2335BDF" w14:textId="77777777" w:rsidR="009A0686" w:rsidRPr="006D7805" w:rsidRDefault="009A0686" w:rsidP="008B2298">
            <w:pPr>
              <w:spacing w:after="120"/>
              <w:ind w:left="0" w:firstLine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Jedná se o hodnocení významu projektu z pohledu poskytovatele dotace</w:t>
            </w:r>
          </w:p>
        </w:tc>
        <w:tc>
          <w:tcPr>
            <w:tcW w:w="1052" w:type="dxa"/>
            <w:shd w:val="clear" w:color="auto" w:fill="auto"/>
          </w:tcPr>
          <w:p w14:paraId="77584AA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Počet </w:t>
            </w:r>
          </w:p>
          <w:p w14:paraId="113413C7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bodů</w:t>
            </w:r>
          </w:p>
        </w:tc>
      </w:tr>
      <w:tr w:rsidR="006D7805" w:rsidRPr="006D7805" w14:paraId="573B9C7D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6B6F85C9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06C692E" w14:textId="77777777" w:rsidR="009A0686" w:rsidRPr="006D7805" w:rsidRDefault="009A0686" w:rsidP="00093161">
            <w:pPr>
              <w:autoSpaceDE w:val="0"/>
              <w:autoSpaceDN w:val="0"/>
              <w:adjustRightInd w:val="0"/>
              <w:spacing w:before="120" w:after="120" w:line="256" w:lineRule="auto"/>
              <w:ind w:hanging="720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nebo poškození povodní:</w:t>
            </w:r>
          </w:p>
          <w:p w14:paraId="4A0BD89C" w14:textId="77777777" w:rsidR="009A0686" w:rsidRPr="006D7805" w:rsidRDefault="009A0686" w:rsidP="009A068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 w:line="256" w:lineRule="auto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na vodním zdroji nebo na čistírně odpadních vod (ČOV), poškození vodního díla k</w:t>
            </w: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 ochraně před povodněmi, </w:t>
            </w:r>
          </w:p>
          <w:p w14:paraId="4381BCC7" w14:textId="77777777" w:rsidR="009A0686" w:rsidRPr="006D7805" w:rsidRDefault="009A0686" w:rsidP="009A068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na úpravně vody (ÚV) nebo na přivaděči na ÚV nebo přivaděči na ČOV,</w:t>
            </w: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6333EB8B" w14:textId="77777777" w:rsidR="009A0686" w:rsidRPr="006D7805" w:rsidRDefault="009A0686" w:rsidP="009A068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na rozvodné síti vodovodu nebo splaškové či jednotné kanalizaci, poškození dešťové kanalizace při povodni</w:t>
            </w: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</w:p>
          <w:p w14:paraId="59E017C0" w14:textId="77777777" w:rsidR="009A0686" w:rsidRPr="006D7805" w:rsidRDefault="009A0686" w:rsidP="00093161">
            <w:pPr>
              <w:spacing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1FD023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4A3A7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4B1BC33" w14:textId="292F3799" w:rsidR="009A0686" w:rsidRPr="006D7805" w:rsidRDefault="00D30C02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9A0686" w:rsidRPr="006D780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  <w:p w14:paraId="518DC9C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824ADB" w14:textId="72D8AE96" w:rsidR="009A0686" w:rsidRPr="006D7805" w:rsidRDefault="00D30C02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6C7E878D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D231DD0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24EF3EC7" w14:textId="77777777" w:rsidR="009A0686" w:rsidRPr="008B2298" w:rsidRDefault="009A0686" w:rsidP="009A0686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color w:val="FF0000"/>
          <w:sz w:val="18"/>
          <w:szCs w:val="18"/>
          <w:lang w:eastAsia="cs-CZ"/>
        </w:rPr>
      </w:pPr>
      <w:r w:rsidRPr="006D7805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* Chráněná oblast přirozené akumulace vod Kvartér řeky Moravy nebo Jeseníky (Nařízení vlády č. 85/1981 Sb</w:t>
      </w:r>
      <w:r w:rsidRPr="008B2298">
        <w:rPr>
          <w:rFonts w:ascii="Arial" w:eastAsia="Times New Roman" w:hAnsi="Arial" w:cs="Arial"/>
          <w:bCs/>
          <w:i/>
          <w:color w:val="FF0000"/>
          <w:sz w:val="18"/>
          <w:szCs w:val="18"/>
          <w:lang w:eastAsia="cs-CZ"/>
        </w:rPr>
        <w:t xml:space="preserve">. </w:t>
      </w:r>
      <w:r w:rsidRPr="006D7805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a č. 40/1978 Sb.)</w:t>
      </w:r>
    </w:p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12AE1A0" w14:textId="00F71F33" w:rsidR="00691685" w:rsidRPr="006D7805" w:rsidRDefault="00691685" w:rsidP="003C72E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6D7805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6D7805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6D7805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6D7805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6D7805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6D7805">
        <w:rPr>
          <w:rFonts w:ascii="Arial" w:hAnsi="Arial" w:cs="Arial"/>
          <w:bCs/>
          <w:sz w:val="24"/>
          <w:szCs w:val="24"/>
        </w:rPr>
        <w:t>P</w:t>
      </w:r>
      <w:r w:rsidR="00AC1498" w:rsidRPr="006D7805">
        <w:rPr>
          <w:rFonts w:ascii="Arial" w:hAnsi="Arial" w:cs="Arial"/>
          <w:bCs/>
          <w:sz w:val="24"/>
          <w:szCs w:val="24"/>
        </w:rPr>
        <w:t>ravidla</w:t>
      </w:r>
      <w:r w:rsidR="001E226A" w:rsidRPr="006D7805">
        <w:rPr>
          <w:rFonts w:ascii="Arial" w:hAnsi="Arial" w:cs="Arial"/>
          <w:bCs/>
          <w:sz w:val="24"/>
          <w:szCs w:val="24"/>
        </w:rPr>
        <w:t>, případn</w:t>
      </w:r>
      <w:r w:rsidR="00572C90" w:rsidRPr="006D7805">
        <w:rPr>
          <w:rFonts w:ascii="Arial" w:hAnsi="Arial" w:cs="Arial"/>
          <w:bCs/>
          <w:sz w:val="24"/>
          <w:szCs w:val="24"/>
        </w:rPr>
        <w:t>á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6D7805">
        <w:rPr>
          <w:rFonts w:ascii="Arial" w:hAnsi="Arial" w:cs="Arial"/>
          <w:bCs/>
          <w:sz w:val="24"/>
          <w:szCs w:val="24"/>
        </w:rPr>
        <w:t>a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požadavků </w:t>
      </w:r>
      <w:r w:rsidR="00733832" w:rsidRPr="006D7805">
        <w:rPr>
          <w:rFonts w:ascii="Arial" w:hAnsi="Arial" w:cs="Arial"/>
          <w:bCs/>
          <w:sz w:val="24"/>
          <w:szCs w:val="24"/>
        </w:rPr>
        <w:br/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na odstranění nedostatků v 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6D7805">
        <w:rPr>
          <w:rFonts w:ascii="Arial" w:hAnsi="Arial" w:cs="Arial"/>
          <w:bCs/>
          <w:sz w:val="24"/>
          <w:szCs w:val="24"/>
        </w:rPr>
        <w:t>8.6</w:t>
      </w:r>
      <w:r w:rsidR="001E226A" w:rsidRPr="006D7805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6D7805">
        <w:rPr>
          <w:rFonts w:ascii="Arial" w:hAnsi="Arial" w:cs="Arial"/>
          <w:bCs/>
          <w:sz w:val="24"/>
          <w:szCs w:val="24"/>
        </w:rPr>
        <w:t>)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6D7805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6D7805">
        <w:rPr>
          <w:rFonts w:ascii="Arial" w:hAnsi="Arial" w:cs="Arial"/>
          <w:bCs/>
          <w:sz w:val="24"/>
          <w:szCs w:val="24"/>
        </w:rPr>
        <w:t>Poté</w:t>
      </w:r>
      <w:r w:rsidR="00645F5E" w:rsidRPr="006D7805">
        <w:rPr>
          <w:rFonts w:ascii="Arial" w:hAnsi="Arial" w:cs="Arial"/>
          <w:b/>
          <w:sz w:val="24"/>
          <w:szCs w:val="24"/>
        </w:rPr>
        <w:t xml:space="preserve"> </w:t>
      </w:r>
      <w:r w:rsidR="00645F5E" w:rsidRPr="006D7805">
        <w:rPr>
          <w:rFonts w:ascii="Arial" w:hAnsi="Arial" w:cs="Arial"/>
          <w:bCs/>
          <w:sz w:val="24"/>
          <w:szCs w:val="24"/>
        </w:rPr>
        <w:t>předloží</w:t>
      </w:r>
      <w:r w:rsidRPr="006D7805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6D7805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6D7805">
        <w:rPr>
          <w:rFonts w:ascii="Arial" w:hAnsi="Arial" w:cs="Arial"/>
          <w:bCs/>
          <w:sz w:val="24"/>
          <w:szCs w:val="24"/>
        </w:rPr>
        <w:t xml:space="preserve">hodnotící komisi: </w:t>
      </w:r>
      <w:r w:rsidR="009A0686" w:rsidRPr="006D7805">
        <w:rPr>
          <w:rFonts w:ascii="Arial" w:hAnsi="Arial" w:cs="Arial"/>
          <w:bCs/>
          <w:sz w:val="24"/>
          <w:szCs w:val="24"/>
        </w:rPr>
        <w:t xml:space="preserve">Komisi Rady Olomouckého kraje pro životní prostředí. </w:t>
      </w:r>
    </w:p>
    <w:p w14:paraId="442F610B" w14:textId="77777777" w:rsidR="006D7805" w:rsidRPr="006D7805" w:rsidRDefault="006D7805" w:rsidP="006D780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51E6CC6" w14:textId="21D24BB6" w:rsidR="00691685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6D7805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6D7805">
        <w:rPr>
          <w:rFonts w:ascii="Arial" w:hAnsi="Arial" w:cs="Arial"/>
          <w:bCs/>
          <w:sz w:val="24"/>
          <w:szCs w:val="24"/>
        </w:rPr>
        <w:t>.</w:t>
      </w:r>
      <w:r w:rsidRPr="006D7805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6D7805">
        <w:rPr>
          <w:rFonts w:ascii="Arial" w:hAnsi="Arial" w:cs="Arial"/>
          <w:bCs/>
          <w:sz w:val="24"/>
          <w:szCs w:val="24"/>
        </w:rPr>
        <w:t xml:space="preserve">hodnotící komise </w:t>
      </w:r>
      <w:r w:rsidRPr="006D7805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27095464" w14:textId="77777777" w:rsidR="00A24294" w:rsidRPr="00A24294" w:rsidRDefault="00A24294" w:rsidP="00A24294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0B5BBAF" w14:textId="4C7D850C" w:rsidR="00A24294" w:rsidRPr="00A24294" w:rsidRDefault="00A24294" w:rsidP="00A2429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4294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06EE2329" w14:textId="68284B2B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případech, kdy je Pravidly umožněno příjemci požadované dotace krátit (s 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6CD88E81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</w:p>
    <w:p w14:paraId="78C795A9" w14:textId="16650074" w:rsidR="00A24294" w:rsidRDefault="00A24294" w:rsidP="00A24294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Administrátor připraví návrh na vyhodnocení tak, aby celková výše obdržených bodů žádosti relevantně odpovídala návrhu na výši poskytnuté dotace v poměru na žadatelem požadovanou výši dotace (např. z celkově možných 60 bodů je žádost obodovaná na 60 bodů, bude navrženo požadovaných 100 000 Kč;  z celkově možných 60 bodů je žádost obodovaná na 48 bodů, bude </w:t>
      </w:r>
      <w:r>
        <w:rPr>
          <w:rFonts w:ascii="Arial" w:hAnsi="Arial" w:cs="Arial"/>
          <w:sz w:val="24"/>
          <w:szCs w:val="24"/>
        </w:rPr>
        <w:lastRenderedPageBreak/>
        <w:t xml:space="preserve">navrženo 80 000 Kč, tzn., za 80 % bodů obdrží 80 % požadované částky 100 000 Kč).  </w:t>
      </w:r>
    </w:p>
    <w:p w14:paraId="1BC57653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</w:p>
    <w:p w14:paraId="0159006F" w14:textId="77777777" w:rsidR="00A24294" w:rsidRDefault="00A24294" w:rsidP="00A24294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4E72513B" w14:textId="77777777" w:rsidR="00A24294" w:rsidRDefault="00A24294" w:rsidP="00A24294">
      <w:pPr>
        <w:ind w:firstLine="0"/>
        <w:rPr>
          <w:rFonts w:ascii="Arial" w:hAnsi="Arial" w:cs="Arial"/>
          <w:b/>
          <w:sz w:val="24"/>
          <w:szCs w:val="24"/>
        </w:rPr>
      </w:pPr>
    </w:p>
    <w:p w14:paraId="151E13F8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3DF0C073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</w:p>
    <w:p w14:paraId="5813CDD3" w14:textId="77777777" w:rsidR="00A24294" w:rsidRDefault="00A24294" w:rsidP="00A24294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A24294" w14:paraId="24E0C851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D86" w14:textId="77777777" w:rsidR="00A24294" w:rsidRDefault="00A24294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E74D" w14:textId="77777777" w:rsidR="00A24294" w:rsidRDefault="00A24294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29A" w14:textId="77777777" w:rsidR="00A24294" w:rsidRDefault="00A24294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24294" w14:paraId="77A26161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9202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5FB349D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55D" w14:textId="033D3BBA" w:rsidR="00A24294" w:rsidRDefault="00F554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1D2" w14:textId="77777777" w:rsidR="00A24294" w:rsidRDefault="00A242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24294" w14:paraId="0A16E2A0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BA01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7B28444" w14:textId="77777777" w:rsidR="00A24294" w:rsidRDefault="00A2429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E9E" w14:textId="02853822" w:rsidR="00A24294" w:rsidRDefault="00F554AB" w:rsidP="00F554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24294">
              <w:rPr>
                <w:rFonts w:ascii="Arial" w:hAnsi="Arial" w:cs="Arial"/>
                <w:sz w:val="20"/>
                <w:szCs w:val="20"/>
              </w:rPr>
              <w:t xml:space="preserve"> - 79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CC09" w14:textId="77777777" w:rsidR="00A24294" w:rsidRDefault="00A24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A4C70E6" w14:textId="77777777" w:rsidR="00A24294" w:rsidRDefault="00A24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61941C84" w14:textId="77777777" w:rsidR="00A24294" w:rsidRDefault="00A242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A24294" w14:paraId="7DA035ED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278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5996FDDD" w14:textId="77777777" w:rsidR="00A24294" w:rsidRDefault="00A2429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F0F0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80 - 100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DF02" w14:textId="21226B0F" w:rsidR="00A24294" w:rsidRDefault="00A242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VYHOVĚT*</w:t>
            </w:r>
          </w:p>
        </w:tc>
      </w:tr>
    </w:tbl>
    <w:p w14:paraId="0641BC03" w14:textId="77777777" w:rsidR="00A24294" w:rsidRDefault="00A24294" w:rsidP="00A24294">
      <w:pPr>
        <w:ind w:left="708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E18806D" w:rsidR="006F1012" w:rsidRPr="006D7805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6D7805" w:rsidRPr="006D7805">
        <w:rPr>
          <w:rFonts w:ascii="Arial" w:hAnsi="Arial" w:cs="Arial"/>
          <w:bCs/>
          <w:sz w:val="24"/>
          <w:szCs w:val="24"/>
        </w:rPr>
        <w:t>akce,</w:t>
      </w:r>
      <w:r w:rsidRPr="006D7805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27067515" w14:textId="77777777" w:rsidR="00F5499E" w:rsidRPr="006D7805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72BBC2A9" w:rsidR="00505864" w:rsidRPr="006D7805" w:rsidRDefault="006F1012" w:rsidP="008B2298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ab/>
        <w:t>Řídící orgán při posuzování bodového hodnocení přihlíží zejména k hranici dosaženého bodového zisku</w:t>
      </w:r>
      <w:r w:rsidR="00F57B0B" w:rsidRPr="006D7805">
        <w:rPr>
          <w:rFonts w:ascii="Arial" w:hAnsi="Arial" w:cs="Arial"/>
          <w:bCs/>
          <w:sz w:val="24"/>
          <w:szCs w:val="24"/>
        </w:rPr>
        <w:t>.</w:t>
      </w:r>
      <w:r w:rsidRPr="006D7805">
        <w:rPr>
          <w:rFonts w:ascii="Arial" w:hAnsi="Arial" w:cs="Arial"/>
          <w:bCs/>
          <w:sz w:val="24"/>
          <w:szCs w:val="24"/>
        </w:rPr>
        <w:t xml:space="preserve"> </w:t>
      </w:r>
    </w:p>
    <w:p w14:paraId="6E3889A7" w14:textId="77777777" w:rsidR="000B542D" w:rsidRDefault="000B542D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</w:p>
    <w:p w14:paraId="1DD17C3C" w14:textId="2E6EDD9D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C10A60C" w:rsidR="009A6768" w:rsidRPr="006D7805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B542D" w:rsidRPr="006D7805">
        <w:rPr>
          <w:rFonts w:ascii="Arial" w:hAnsi="Arial" w:cs="Arial"/>
          <w:bCs/>
          <w:sz w:val="24"/>
          <w:szCs w:val="24"/>
        </w:rPr>
        <w:t>90</w:t>
      </w:r>
      <w:r w:rsidRPr="006D7805">
        <w:rPr>
          <w:rFonts w:ascii="Arial" w:hAnsi="Arial" w:cs="Arial"/>
          <w:bCs/>
          <w:sz w:val="24"/>
          <w:szCs w:val="24"/>
        </w:rPr>
        <w:t xml:space="preserve"> dnů od </w:t>
      </w:r>
      <w:r w:rsidR="000B542D" w:rsidRPr="006D7805">
        <w:rPr>
          <w:rFonts w:ascii="Arial" w:hAnsi="Arial"/>
          <w:sz w:val="24"/>
          <w:szCs w:val="24"/>
        </w:rPr>
        <w:t>ukončení příjmu žádostí.</w:t>
      </w:r>
    </w:p>
    <w:p w14:paraId="17139E40" w14:textId="77777777" w:rsidR="00691685" w:rsidRPr="006D780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64F1E86" w:rsidR="00691685" w:rsidRPr="006D7805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6D7805" w:rsidRPr="006D7805">
        <w:rPr>
          <w:rFonts w:ascii="Arial" w:hAnsi="Arial" w:cs="Arial"/>
          <w:bCs/>
          <w:sz w:val="24"/>
          <w:szCs w:val="24"/>
        </w:rPr>
        <w:t>programu</w:t>
      </w:r>
      <w:r w:rsidRPr="006D780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6D7805" w:rsidRPr="006D7805">
        <w:rPr>
          <w:rFonts w:ascii="Arial" w:hAnsi="Arial" w:cs="Arial"/>
          <w:bCs/>
          <w:sz w:val="24"/>
          <w:szCs w:val="24"/>
        </w:rPr>
        <w:t>programu</w:t>
      </w:r>
      <w:r w:rsidRPr="006D7805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780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2AF3863" w:rsidR="00523688" w:rsidRPr="006D7805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>Informac</w:t>
      </w:r>
      <w:r w:rsidR="00805F04" w:rsidRPr="006D7805">
        <w:rPr>
          <w:rFonts w:ascii="Arial" w:hAnsi="Arial" w:cs="Arial"/>
          <w:bCs/>
          <w:sz w:val="24"/>
          <w:szCs w:val="24"/>
        </w:rPr>
        <w:t>i</w:t>
      </w:r>
      <w:r w:rsidRPr="006D780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780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7805">
        <w:rPr>
          <w:rFonts w:ascii="Arial" w:hAnsi="Arial" w:cs="Arial"/>
          <w:b/>
          <w:bCs/>
          <w:sz w:val="24"/>
          <w:szCs w:val="24"/>
        </w:rPr>
        <w:t>dnů</w:t>
      </w:r>
      <w:r w:rsidRPr="006D780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6D7805">
        <w:rPr>
          <w:rFonts w:ascii="Arial" w:hAnsi="Arial" w:cs="Arial"/>
          <w:sz w:val="24"/>
          <w:szCs w:val="24"/>
        </w:rPr>
        <w:lastRenderedPageBreak/>
        <w:t xml:space="preserve">administrátor zveřejní výsledky vyhodnocení 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dotačního </w:t>
      </w:r>
      <w:r w:rsidR="006D7805" w:rsidRPr="006D7805">
        <w:rPr>
          <w:rFonts w:ascii="Arial" w:hAnsi="Arial" w:cs="Arial"/>
          <w:bCs/>
          <w:sz w:val="24"/>
          <w:szCs w:val="24"/>
        </w:rPr>
        <w:t>programu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8B3277" w:rsidRPr="006D7805">
        <w:rPr>
          <w:rFonts w:ascii="Arial" w:hAnsi="Arial" w:cs="Arial"/>
          <w:bCs/>
          <w:sz w:val="24"/>
          <w:szCs w:val="24"/>
        </w:rPr>
        <w:t>na </w:t>
      </w:r>
      <w:r w:rsidR="00080132" w:rsidRPr="006D7805">
        <w:rPr>
          <w:rFonts w:ascii="Arial" w:hAnsi="Arial" w:cs="Arial"/>
          <w:bCs/>
          <w:sz w:val="24"/>
          <w:szCs w:val="24"/>
        </w:rPr>
        <w:t>webový</w:t>
      </w:r>
      <w:r w:rsidR="006D7805" w:rsidRPr="006D7805">
        <w:rPr>
          <w:rFonts w:ascii="Arial" w:hAnsi="Arial" w:cs="Arial"/>
          <w:bCs/>
          <w:sz w:val="24"/>
          <w:szCs w:val="24"/>
        </w:rPr>
        <w:t>ch stránkách dotačního programu</w:t>
      </w:r>
      <w:r w:rsidR="00080132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D7805">
        <w:rPr>
          <w:rFonts w:ascii="Arial" w:hAnsi="Arial" w:cs="Arial"/>
          <w:bCs/>
          <w:sz w:val="24"/>
          <w:szCs w:val="24"/>
        </w:rPr>
        <w:t>(</w:t>
      </w:r>
      <w:r w:rsidR="009A4562" w:rsidRPr="006D7805">
        <w:rPr>
          <w:rFonts w:ascii="Arial" w:hAnsi="Arial" w:cs="Arial"/>
          <w:bCs/>
          <w:sz w:val="24"/>
          <w:szCs w:val="24"/>
        </w:rPr>
        <w:t>po 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6D7805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6D7805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6D7805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780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780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805">
        <w:rPr>
          <w:rFonts w:ascii="Arial" w:hAnsi="Arial" w:cs="Arial"/>
          <w:b/>
          <w:sz w:val="24"/>
          <w:szCs w:val="24"/>
        </w:rPr>
        <w:t>Administrátor</w:t>
      </w:r>
      <w:r w:rsidRPr="006D780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D7805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D7805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D7805">
        <w:rPr>
          <w:rFonts w:ascii="Arial" w:hAnsi="Arial" w:cs="Arial"/>
          <w:sz w:val="24"/>
          <w:szCs w:val="24"/>
        </w:rPr>
        <w:t>komunikuje s </w:t>
      </w:r>
      <w:r w:rsidRPr="006D7805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D7805">
        <w:rPr>
          <w:rFonts w:ascii="Arial" w:hAnsi="Arial" w:cs="Arial"/>
          <w:sz w:val="24"/>
          <w:szCs w:val="24"/>
        </w:rPr>
        <w:t>dí prověření závěrečné zprávy a </w:t>
      </w:r>
      <w:r w:rsidRPr="006D7805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F50DA0E" w:rsidR="006A310B" w:rsidRPr="006D7805" w:rsidRDefault="006D7805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D7805">
        <w:rPr>
          <w:rFonts w:ascii="Arial" w:hAnsi="Arial" w:cs="Arial"/>
          <w:b/>
          <w:sz w:val="24"/>
          <w:szCs w:val="24"/>
        </w:rPr>
        <w:t>Akce</w:t>
      </w:r>
      <w:r w:rsidR="006D7BE4" w:rsidRPr="006D7805">
        <w:rPr>
          <w:rFonts w:ascii="Arial" w:hAnsi="Arial" w:cs="Arial"/>
          <w:b/>
          <w:sz w:val="24"/>
          <w:szCs w:val="24"/>
        </w:rPr>
        <w:t xml:space="preserve"> </w:t>
      </w:r>
      <w:r w:rsidR="006A310B" w:rsidRPr="006D7805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6D7805">
        <w:rPr>
          <w:rFonts w:ascii="Arial" w:hAnsi="Arial" w:cs="Arial"/>
          <w:sz w:val="24"/>
          <w:szCs w:val="24"/>
        </w:rPr>
        <w:t>aktivit</w:t>
      </w:r>
      <w:r w:rsidR="006A310B" w:rsidRPr="006D780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Pr="006D7805">
        <w:rPr>
          <w:rFonts w:ascii="Arial" w:hAnsi="Arial" w:cs="Arial"/>
          <w:sz w:val="24"/>
          <w:szCs w:val="24"/>
        </w:rPr>
        <w:t>programu</w:t>
      </w:r>
      <w:r w:rsidR="006A310B" w:rsidRPr="006D780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Pr="006D7805">
        <w:rPr>
          <w:rFonts w:ascii="Arial" w:hAnsi="Arial" w:cs="Arial"/>
          <w:sz w:val="24"/>
          <w:szCs w:val="24"/>
        </w:rPr>
        <w:t>programu</w:t>
      </w:r>
    </w:p>
    <w:p w14:paraId="268D7581" w14:textId="4A0E4F3A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8531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="00BA36B7" w:rsidRPr="00085313">
        <w:rPr>
          <w:rFonts w:ascii="Arial" w:hAnsi="Arial" w:cs="Arial"/>
          <w:sz w:val="24"/>
          <w:szCs w:val="24"/>
        </w:rPr>
        <w:t xml:space="preserve"> a uvedl je v žádosti o </w:t>
      </w:r>
      <w:r w:rsidRPr="0008531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085313">
        <w:rPr>
          <w:rFonts w:ascii="Arial" w:hAnsi="Arial" w:cs="Arial"/>
          <w:sz w:val="24"/>
          <w:szCs w:val="24"/>
        </w:rPr>
        <w:t>5.4.</w:t>
      </w:r>
      <w:r w:rsidRPr="0008531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ABED0F1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8531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85313">
        <w:rPr>
          <w:rFonts w:ascii="Arial" w:hAnsi="Arial" w:cs="Arial"/>
          <w:sz w:val="24"/>
          <w:szCs w:val="24"/>
        </w:rPr>
        <w:t xml:space="preserve">akce </w:t>
      </w:r>
      <w:r w:rsidRPr="00085313">
        <w:rPr>
          <w:rFonts w:ascii="Arial" w:hAnsi="Arial" w:cs="Arial"/>
          <w:sz w:val="24"/>
          <w:szCs w:val="24"/>
        </w:rPr>
        <w:t xml:space="preserve">dle </w:t>
      </w:r>
      <w:r w:rsidR="00B43176" w:rsidRPr="00085313">
        <w:rPr>
          <w:rFonts w:ascii="Arial" w:hAnsi="Arial" w:cs="Arial"/>
          <w:sz w:val="24"/>
          <w:szCs w:val="24"/>
        </w:rPr>
        <w:t xml:space="preserve">těchto </w:t>
      </w:r>
      <w:r w:rsidR="00444B86" w:rsidRPr="00085313">
        <w:rPr>
          <w:rFonts w:ascii="Arial" w:hAnsi="Arial" w:cs="Arial"/>
          <w:sz w:val="24"/>
          <w:szCs w:val="24"/>
        </w:rPr>
        <w:t>P</w:t>
      </w:r>
      <w:r w:rsidRPr="00085313">
        <w:rPr>
          <w:rFonts w:ascii="Arial" w:hAnsi="Arial" w:cs="Arial"/>
          <w:sz w:val="24"/>
          <w:szCs w:val="24"/>
        </w:rPr>
        <w:t>ravidel, odst.</w:t>
      </w:r>
      <w:r w:rsidR="003F1369" w:rsidRPr="00085313">
        <w:rPr>
          <w:rFonts w:ascii="Arial" w:hAnsi="Arial" w:cs="Arial"/>
          <w:sz w:val="24"/>
          <w:szCs w:val="24"/>
        </w:rPr>
        <w:t xml:space="preserve"> 5</w:t>
      </w:r>
      <w:r w:rsidRPr="0008531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0CF37BF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Konkrétní účel </w:t>
      </w:r>
      <w:r w:rsidRPr="0008531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85313">
        <w:rPr>
          <w:rFonts w:ascii="Arial" w:hAnsi="Arial" w:cs="Arial"/>
          <w:sz w:val="24"/>
          <w:szCs w:val="24"/>
        </w:rPr>
        <w:t>akci</w:t>
      </w:r>
      <w:r w:rsidR="00085313" w:rsidRPr="00085313">
        <w:rPr>
          <w:rFonts w:ascii="Arial" w:hAnsi="Arial" w:cs="Arial"/>
          <w:sz w:val="24"/>
          <w:szCs w:val="24"/>
        </w:rPr>
        <w:t xml:space="preserve">, </w:t>
      </w:r>
      <w:r w:rsidRPr="00085313">
        <w:rPr>
          <w:rFonts w:ascii="Arial" w:hAnsi="Arial" w:cs="Arial"/>
          <w:sz w:val="24"/>
          <w:szCs w:val="24"/>
        </w:rPr>
        <w:t xml:space="preserve">specifikovaný v písemné žádosti a vymezený ve Smlouvě (konkrétní použití dotace na </w:t>
      </w:r>
      <w:r w:rsidR="009A4E6F" w:rsidRPr="00085313">
        <w:rPr>
          <w:rFonts w:ascii="Arial" w:hAnsi="Arial" w:cs="Arial"/>
          <w:sz w:val="24"/>
          <w:szCs w:val="24"/>
        </w:rPr>
        <w:t>akci</w:t>
      </w:r>
      <w:r w:rsidRPr="00085313">
        <w:rPr>
          <w:rFonts w:ascii="Arial" w:hAnsi="Arial" w:cs="Arial"/>
          <w:sz w:val="24"/>
          <w:szCs w:val="24"/>
        </w:rPr>
        <w:t>) v souladu s definov</w:t>
      </w:r>
      <w:r w:rsidR="0079029A" w:rsidRPr="00085313">
        <w:rPr>
          <w:rFonts w:ascii="Arial" w:hAnsi="Arial" w:cs="Arial"/>
          <w:sz w:val="24"/>
          <w:szCs w:val="24"/>
        </w:rPr>
        <w:t>anými cíli dotačního programu a </w:t>
      </w:r>
      <w:r w:rsidRPr="00085313">
        <w:rPr>
          <w:rFonts w:ascii="Arial" w:hAnsi="Arial" w:cs="Arial"/>
          <w:sz w:val="24"/>
          <w:szCs w:val="24"/>
        </w:rPr>
        <w:t xml:space="preserve">v souladu s obecným účelem. </w:t>
      </w:r>
      <w:r w:rsidRPr="0008531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8CA7DD4" w:rsidR="006A310B" w:rsidRPr="0008531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Neuznatelné výdaje</w:t>
      </w:r>
      <w:r w:rsidRPr="00085313">
        <w:rPr>
          <w:rFonts w:ascii="Arial" w:hAnsi="Arial" w:cs="Arial"/>
          <w:sz w:val="24"/>
          <w:szCs w:val="24"/>
        </w:rPr>
        <w:t xml:space="preserve"> </w:t>
      </w:r>
      <w:r w:rsidR="003F7B8E" w:rsidRPr="0008531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08531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085313">
        <w:rPr>
          <w:rFonts w:ascii="Arial" w:hAnsi="Arial" w:cs="Arial"/>
          <w:sz w:val="24"/>
          <w:szCs w:val="24"/>
        </w:rPr>
        <w:t xml:space="preserve">, </w:t>
      </w:r>
      <w:r w:rsidR="003F7B8E" w:rsidRPr="00085313">
        <w:rPr>
          <w:rFonts w:ascii="Arial" w:hAnsi="Arial" w:cs="Arial"/>
          <w:sz w:val="24"/>
          <w:szCs w:val="24"/>
        </w:rPr>
        <w:t>použít. Ž</w:t>
      </w:r>
      <w:r w:rsidRPr="00085313">
        <w:rPr>
          <w:rFonts w:ascii="Arial" w:hAnsi="Arial" w:cs="Arial"/>
          <w:sz w:val="24"/>
          <w:szCs w:val="24"/>
        </w:rPr>
        <w:t xml:space="preserve">adatel </w:t>
      </w:r>
      <w:r w:rsidR="003F7B8E" w:rsidRPr="00085313">
        <w:rPr>
          <w:rFonts w:ascii="Arial" w:hAnsi="Arial" w:cs="Arial"/>
          <w:sz w:val="24"/>
          <w:szCs w:val="24"/>
        </w:rPr>
        <w:t xml:space="preserve">je </w:t>
      </w:r>
      <w:r w:rsidR="005500EE" w:rsidRPr="00085313">
        <w:rPr>
          <w:rFonts w:ascii="Arial" w:hAnsi="Arial" w:cs="Arial"/>
          <w:sz w:val="24"/>
          <w:szCs w:val="24"/>
        </w:rPr>
        <w:t>nemůže zahrnout do </w:t>
      </w:r>
      <w:r w:rsidRPr="00085313">
        <w:rPr>
          <w:rFonts w:ascii="Arial" w:hAnsi="Arial" w:cs="Arial"/>
          <w:sz w:val="24"/>
          <w:szCs w:val="24"/>
        </w:rPr>
        <w:t>celkových předpokládaných</w:t>
      </w:r>
      <w:r w:rsidR="00FA5724" w:rsidRPr="00085313">
        <w:rPr>
          <w:rFonts w:ascii="Arial" w:hAnsi="Arial" w:cs="Arial"/>
          <w:sz w:val="24"/>
          <w:szCs w:val="24"/>
        </w:rPr>
        <w:t xml:space="preserve"> uznatelných</w:t>
      </w:r>
      <w:r w:rsidRPr="0008531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085313">
        <w:rPr>
          <w:rFonts w:ascii="Arial" w:hAnsi="Arial" w:cs="Arial"/>
          <w:sz w:val="24"/>
          <w:szCs w:val="24"/>
        </w:rPr>
        <w:t xml:space="preserve">uznatelných </w:t>
      </w:r>
      <w:r w:rsidRPr="0008531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="00272D37" w:rsidRPr="00085313">
        <w:rPr>
          <w:rFonts w:ascii="Arial" w:hAnsi="Arial" w:cs="Arial"/>
          <w:sz w:val="24"/>
          <w:szCs w:val="24"/>
        </w:rPr>
        <w:t xml:space="preserve">. </w:t>
      </w:r>
      <w:r w:rsidRPr="0008531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085313">
        <w:rPr>
          <w:rFonts w:ascii="Arial" w:hAnsi="Arial" w:cs="Arial"/>
          <w:sz w:val="24"/>
          <w:szCs w:val="24"/>
        </w:rPr>
        <w:t>P</w:t>
      </w:r>
      <w:r w:rsidRPr="00085313">
        <w:rPr>
          <w:rFonts w:ascii="Arial" w:hAnsi="Arial" w:cs="Arial"/>
          <w:sz w:val="24"/>
          <w:szCs w:val="24"/>
        </w:rPr>
        <w:t xml:space="preserve">ravidel, odst. </w:t>
      </w:r>
      <w:r w:rsidR="003F1369" w:rsidRPr="00085313">
        <w:rPr>
          <w:rFonts w:ascii="Arial" w:hAnsi="Arial" w:cs="Arial"/>
          <w:sz w:val="24"/>
          <w:szCs w:val="24"/>
        </w:rPr>
        <w:t>7.4</w:t>
      </w:r>
      <w:r w:rsidR="005F5C4E" w:rsidRPr="00085313">
        <w:rPr>
          <w:rFonts w:ascii="Arial" w:hAnsi="Arial" w:cs="Arial"/>
          <w:sz w:val="24"/>
          <w:szCs w:val="24"/>
        </w:rPr>
        <w:t>,</w:t>
      </w:r>
      <w:r w:rsidR="005C0712" w:rsidRPr="0008531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085313">
        <w:rPr>
          <w:rFonts w:ascii="Arial" w:hAnsi="Arial" w:cs="Arial"/>
          <w:sz w:val="24"/>
          <w:szCs w:val="24"/>
        </w:rPr>
        <w:t xml:space="preserve"> </w:t>
      </w:r>
      <w:r w:rsidR="00A07366" w:rsidRPr="00085313">
        <w:rPr>
          <w:rFonts w:ascii="Arial" w:hAnsi="Arial" w:cs="Arial"/>
          <w:sz w:val="24"/>
          <w:szCs w:val="24"/>
        </w:rPr>
        <w:t>5</w:t>
      </w:r>
      <w:r w:rsidRPr="0008531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08531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4D15298B" w:rsidR="008268F8" w:rsidRPr="0008531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Obecný účel</w:t>
      </w:r>
      <w:r w:rsidRPr="0008531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085313" w:rsidRPr="00085313">
        <w:rPr>
          <w:rFonts w:ascii="Arial" w:hAnsi="Arial" w:cs="Arial"/>
          <w:sz w:val="24"/>
          <w:szCs w:val="24"/>
        </w:rPr>
        <w:t>programu</w:t>
      </w:r>
      <w:r w:rsidRPr="0008531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085313">
        <w:rPr>
          <w:rFonts w:ascii="Arial" w:hAnsi="Arial" w:cs="Arial"/>
          <w:sz w:val="24"/>
          <w:szCs w:val="24"/>
        </w:rPr>
        <w:t xml:space="preserve">specifikace toho, jak mohou být finanční prostředky </w:t>
      </w:r>
      <w:r w:rsidR="00444BDB" w:rsidRPr="00085313">
        <w:rPr>
          <w:rFonts w:ascii="Arial" w:hAnsi="Arial" w:cs="Arial"/>
          <w:sz w:val="24"/>
          <w:szCs w:val="24"/>
        </w:rPr>
        <w:lastRenderedPageBreak/>
        <w:t xml:space="preserve">obecně využity, </w:t>
      </w:r>
      <w:r w:rsidRPr="00085313">
        <w:rPr>
          <w:rFonts w:ascii="Arial" w:hAnsi="Arial" w:cs="Arial"/>
          <w:sz w:val="24"/>
          <w:szCs w:val="24"/>
        </w:rPr>
        <w:t xml:space="preserve">dle definovaného cíle dotačního programu a s ohledem </w:t>
      </w:r>
      <w:r w:rsidR="00733832" w:rsidRPr="00085313">
        <w:rPr>
          <w:rFonts w:ascii="Arial" w:hAnsi="Arial" w:cs="Arial"/>
          <w:sz w:val="24"/>
          <w:szCs w:val="24"/>
        </w:rPr>
        <w:br/>
      </w:r>
      <w:r w:rsidRPr="00085313">
        <w:rPr>
          <w:rFonts w:ascii="Arial" w:hAnsi="Arial" w:cs="Arial"/>
          <w:sz w:val="24"/>
          <w:szCs w:val="24"/>
        </w:rPr>
        <w:t>na důvody podpory dané oblasti</w:t>
      </w:r>
      <w:r w:rsidR="00786F00" w:rsidRPr="0008531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08531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085313">
        <w:rPr>
          <w:rFonts w:ascii="Arial" w:hAnsi="Arial" w:cs="Arial"/>
          <w:b/>
          <w:sz w:val="24"/>
          <w:szCs w:val="24"/>
        </w:rPr>
        <w:t>Poradní orgán</w:t>
      </w:r>
      <w:r w:rsidRPr="0008531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Poskytovatel dotace</w:t>
      </w:r>
      <w:r w:rsidRPr="0008531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85AB328" w:rsidR="00724C93" w:rsidRPr="0008531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Projekt</w:t>
      </w:r>
      <w:r w:rsidR="00AB6332" w:rsidRPr="00085313">
        <w:rPr>
          <w:rFonts w:ascii="Arial" w:hAnsi="Arial" w:cs="Arial"/>
          <w:b/>
          <w:sz w:val="24"/>
          <w:szCs w:val="24"/>
        </w:rPr>
        <w:t xml:space="preserve"> </w:t>
      </w:r>
      <w:r w:rsidRPr="00085313">
        <w:rPr>
          <w:rFonts w:ascii="Arial" w:hAnsi="Arial" w:cs="Arial"/>
          <w:sz w:val="24"/>
          <w:szCs w:val="24"/>
        </w:rPr>
        <w:t xml:space="preserve">– </w:t>
      </w:r>
      <w:r w:rsidR="00085313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</w:t>
      </w:r>
      <w:r w:rsidR="00085313" w:rsidRPr="00085313">
        <w:rPr>
          <w:rFonts w:ascii="Arial" w:hAnsi="Arial" w:cs="Arial"/>
          <w:sz w:val="24"/>
          <w:szCs w:val="24"/>
        </w:rPr>
        <w:t>programu.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4641FB6" w:rsidR="00C14143" w:rsidRPr="0008531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Uznatelný výdaj</w:t>
      </w:r>
      <w:r w:rsidRPr="0008531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085313">
        <w:rPr>
          <w:rFonts w:ascii="Arial" w:hAnsi="Arial" w:cs="Arial"/>
          <w:sz w:val="24"/>
          <w:szCs w:val="24"/>
        </w:rPr>
        <w:t>usí být vynaložen na činnosti a </w:t>
      </w:r>
      <w:r w:rsidRPr="0008531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</w:t>
      </w:r>
      <w:r w:rsidR="00085313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dle </w:t>
      </w:r>
      <w:r w:rsidR="00B43176" w:rsidRPr="00085313">
        <w:rPr>
          <w:rFonts w:ascii="Arial" w:hAnsi="Arial" w:cs="Arial"/>
          <w:sz w:val="24"/>
          <w:szCs w:val="24"/>
        </w:rPr>
        <w:t xml:space="preserve">těchto </w:t>
      </w:r>
      <w:r w:rsidR="00602D5C" w:rsidRPr="00085313">
        <w:rPr>
          <w:rFonts w:ascii="Arial" w:hAnsi="Arial" w:cs="Arial"/>
          <w:sz w:val="24"/>
          <w:szCs w:val="24"/>
        </w:rPr>
        <w:t>P</w:t>
      </w:r>
      <w:r w:rsidRPr="00085313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085313">
        <w:rPr>
          <w:rFonts w:ascii="Arial" w:hAnsi="Arial" w:cs="Arial"/>
          <w:sz w:val="24"/>
          <w:szCs w:val="24"/>
        </w:rPr>
        <w:t>5.4</w:t>
      </w:r>
      <w:r w:rsidRPr="00085313">
        <w:rPr>
          <w:rFonts w:ascii="Arial" w:hAnsi="Arial" w:cs="Arial"/>
          <w:sz w:val="24"/>
          <w:szCs w:val="24"/>
          <w:u w:val="single"/>
        </w:rPr>
        <w:t>.</w:t>
      </w:r>
      <w:r w:rsidRPr="0008531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085313">
        <w:rPr>
          <w:rFonts w:ascii="Arial" w:hAnsi="Arial" w:cs="Arial"/>
          <w:sz w:val="24"/>
          <w:szCs w:val="24"/>
        </w:rPr>
        <w:t xml:space="preserve"> c). </w:t>
      </w:r>
      <w:r w:rsidR="002A2E57" w:rsidRPr="00085313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085313">
        <w:rPr>
          <w:rFonts w:ascii="Arial" w:hAnsi="Arial" w:cs="Arial"/>
          <w:sz w:val="24"/>
          <w:szCs w:val="24"/>
        </w:rPr>
        <w:t xml:space="preserve">Výdaj musí být identifikovatelný </w:t>
      </w:r>
      <w:r w:rsidR="00733832" w:rsidRPr="00085313">
        <w:rPr>
          <w:rFonts w:ascii="Arial" w:hAnsi="Arial" w:cs="Arial"/>
          <w:sz w:val="24"/>
          <w:szCs w:val="24"/>
        </w:rPr>
        <w:br/>
      </w:r>
      <w:r w:rsidRPr="00085313">
        <w:rPr>
          <w:rFonts w:ascii="Arial" w:hAnsi="Arial" w:cs="Arial"/>
          <w:sz w:val="24"/>
          <w:szCs w:val="24"/>
        </w:rPr>
        <w:t xml:space="preserve">a kontrolovatelný a musí být doložitelný originály účetních dokladů (účetní doklady příjemce) ve smyslu § 11 zákona o účetnictví č. 563/1991 Sb., </w:t>
      </w:r>
      <w:r w:rsidR="00733832" w:rsidRPr="00085313">
        <w:rPr>
          <w:rFonts w:ascii="Arial" w:hAnsi="Arial" w:cs="Arial"/>
          <w:sz w:val="24"/>
          <w:szCs w:val="24"/>
        </w:rPr>
        <w:br/>
      </w:r>
      <w:r w:rsidRPr="00085313">
        <w:rPr>
          <w:rFonts w:ascii="Arial" w:hAnsi="Arial" w:cs="Arial"/>
          <w:sz w:val="24"/>
          <w:szCs w:val="24"/>
        </w:rPr>
        <w:t>ve znění pozdějších předpisů. V případě, že je příjemce povinen vést účetnictví, musí být o výdaji proveden účetní záznam. Podmín</w:t>
      </w:r>
      <w:r w:rsidR="00BA36B7" w:rsidRPr="00085313">
        <w:rPr>
          <w:rFonts w:ascii="Arial" w:hAnsi="Arial" w:cs="Arial"/>
          <w:sz w:val="24"/>
          <w:szCs w:val="24"/>
        </w:rPr>
        <w:t>ky uznatelnosti musí splňovat i </w:t>
      </w:r>
      <w:r w:rsidRPr="00085313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2532E063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85313">
        <w:rPr>
          <w:rFonts w:ascii="Arial" w:hAnsi="Arial" w:cs="Arial"/>
          <w:sz w:val="24"/>
          <w:szCs w:val="24"/>
        </w:rPr>
        <w:t xml:space="preserve">je popis a závěrečné zhodnocení </w:t>
      </w:r>
      <w:r w:rsidR="00085313" w:rsidRPr="00085313">
        <w:rPr>
          <w:rFonts w:ascii="Arial" w:hAnsi="Arial" w:cs="Arial"/>
          <w:sz w:val="24"/>
          <w:szCs w:val="24"/>
        </w:rPr>
        <w:t>akce.</w:t>
      </w:r>
    </w:p>
    <w:p w14:paraId="6D0D5D1C" w14:textId="2ACE9207" w:rsidR="00BD553A" w:rsidRPr="00085313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Žadatel</w:t>
      </w:r>
      <w:r w:rsidRPr="0008531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C688F79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8531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E95E69" w:rsidRPr="00085313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08531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Vlastní zdroje</w:t>
      </w:r>
      <w:r w:rsidRPr="00085313">
        <w:rPr>
          <w:rFonts w:ascii="Arial" w:hAnsi="Arial" w:cs="Arial"/>
          <w:sz w:val="24"/>
          <w:szCs w:val="24"/>
        </w:rPr>
        <w:t xml:space="preserve"> – </w:t>
      </w:r>
      <w:r w:rsidR="00EF5BD2" w:rsidRPr="0008531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85313">
        <w:rPr>
          <w:rFonts w:ascii="Arial" w:hAnsi="Arial" w:cs="Arial"/>
          <w:sz w:val="24"/>
          <w:szCs w:val="24"/>
        </w:rPr>
        <w:t>í</w:t>
      </w:r>
      <w:r w:rsidR="00EF5BD2" w:rsidRPr="0008531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ACC2053" w:rsidR="00EF5BD2" w:rsidRPr="0008531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bCs/>
          <w:sz w:val="24"/>
          <w:szCs w:val="24"/>
        </w:rPr>
        <w:t>Jiné zdroje</w:t>
      </w:r>
      <w:r w:rsidRPr="00085313">
        <w:rPr>
          <w:rFonts w:ascii="Arial" w:hAnsi="Arial" w:cs="Arial"/>
          <w:sz w:val="24"/>
          <w:szCs w:val="24"/>
        </w:rPr>
        <w:t xml:space="preserve"> </w:t>
      </w:r>
      <w:r w:rsidRPr="00085313">
        <w:rPr>
          <w:rFonts w:ascii="Arial" w:hAnsi="Arial" w:cs="Arial"/>
        </w:rPr>
        <w:t xml:space="preserve">– </w:t>
      </w:r>
      <w:r w:rsidR="00EF5BD2" w:rsidRPr="00085313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proofErr w:type="gramStart"/>
      <w:r w:rsidR="00EF5BD2" w:rsidRPr="00085313">
        <w:rPr>
          <w:rFonts w:ascii="Arial" w:hAnsi="Arial" w:cs="Arial"/>
          <w:sz w:val="24"/>
          <w:szCs w:val="24"/>
        </w:rPr>
        <w:t xml:space="preserve">…) </w:t>
      </w:r>
      <w:r w:rsidR="00E95E69" w:rsidRPr="00085313">
        <w:rPr>
          <w:rFonts w:ascii="Arial" w:hAnsi="Arial" w:cs="Arial"/>
          <w:i/>
          <w:sz w:val="24"/>
          <w:szCs w:val="24"/>
        </w:rPr>
        <w:t>.</w:t>
      </w:r>
      <w:proofErr w:type="gramEnd"/>
    </w:p>
    <w:p w14:paraId="6A38DFA1" w14:textId="223165BE" w:rsidR="005B4D66" w:rsidRPr="0008531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85313">
        <w:rPr>
          <w:rFonts w:ascii="Arial" w:hAnsi="Arial" w:cs="Arial"/>
          <w:sz w:val="24"/>
          <w:szCs w:val="24"/>
        </w:rPr>
        <w:t xml:space="preserve">jsou </w:t>
      </w:r>
      <w:r w:rsidR="005B4D66" w:rsidRPr="00085313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E95E69" w:rsidRPr="00085313">
        <w:rPr>
          <w:rFonts w:ascii="Arial" w:hAnsi="Arial" w:cs="Arial"/>
          <w:sz w:val="24"/>
          <w:szCs w:val="24"/>
        </w:rPr>
        <w:t xml:space="preserve">. </w:t>
      </w:r>
    </w:p>
    <w:p w14:paraId="55DD84AF" w14:textId="77777777" w:rsidR="006F74BC" w:rsidRPr="0008531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Vyúčtování dotace</w:t>
      </w:r>
      <w:r w:rsidRPr="0008531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085313">
        <w:rPr>
          <w:rFonts w:ascii="Arial" w:hAnsi="Arial" w:cs="Arial"/>
          <w:sz w:val="24"/>
          <w:szCs w:val="24"/>
        </w:rPr>
        <w:t>se Smlouvou vyplněný, uložený a </w:t>
      </w:r>
      <w:r w:rsidRPr="0008531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085313">
        <w:rPr>
          <w:rFonts w:ascii="Arial" w:hAnsi="Arial" w:cs="Arial"/>
          <w:sz w:val="24"/>
          <w:szCs w:val="24"/>
        </w:rPr>
        <w:t>účtování dotace“, zveřejněný na </w:t>
      </w:r>
      <w:r w:rsidRPr="0008531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1DDD40A5" w14:textId="77777777" w:rsidR="006F74BC" w:rsidRPr="00085313" w:rsidRDefault="006F74BC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Místní část</w:t>
      </w:r>
      <w:r w:rsidRPr="00085313">
        <w:rPr>
          <w:rFonts w:ascii="Arial" w:hAnsi="Arial" w:cs="Arial"/>
          <w:sz w:val="24"/>
          <w:szCs w:val="24"/>
        </w:rPr>
        <w:t xml:space="preserve"> je oficiální část obce nebo osada obce (dle Českého statistického úřadu – ČSÚ), jejíž </w:t>
      </w:r>
      <w:proofErr w:type="spellStart"/>
      <w:r w:rsidRPr="00085313">
        <w:rPr>
          <w:rFonts w:ascii="Arial" w:hAnsi="Arial" w:cs="Arial"/>
          <w:sz w:val="24"/>
          <w:szCs w:val="24"/>
        </w:rPr>
        <w:t>intravilán</w:t>
      </w:r>
      <w:proofErr w:type="spellEnd"/>
      <w:r w:rsidRPr="00085313">
        <w:rPr>
          <w:rFonts w:ascii="Arial" w:hAnsi="Arial" w:cs="Arial"/>
          <w:sz w:val="24"/>
          <w:szCs w:val="24"/>
        </w:rPr>
        <w:t xml:space="preserve"> je oddělen od mateřské obce (nebo jiných částí </w:t>
      </w:r>
      <w:r w:rsidRPr="00085313">
        <w:rPr>
          <w:rFonts w:ascii="Arial" w:hAnsi="Arial" w:cs="Arial"/>
          <w:sz w:val="24"/>
          <w:szCs w:val="24"/>
        </w:rPr>
        <w:lastRenderedPageBreak/>
        <w:t xml:space="preserve">obce) nezastavěným územím, se samostatnou řadou č. p. a samostatným katastrálním územím. </w:t>
      </w:r>
    </w:p>
    <w:p w14:paraId="3920F444" w14:textId="1959E217" w:rsidR="00C4578A" w:rsidRPr="00085313" w:rsidRDefault="006F74BC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Počet obyvatel obce</w:t>
      </w:r>
      <w:r w:rsidRPr="00085313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2023.  </w:t>
      </w:r>
    </w:p>
    <w:p w14:paraId="69434B4D" w14:textId="10672163" w:rsidR="00C93AAD" w:rsidRPr="007E3597" w:rsidRDefault="00C93AAD" w:rsidP="008B2298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022E05F3" w:rsidR="00D81DFB" w:rsidRPr="00085313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 xml:space="preserve">Poskytovatel si </w:t>
      </w:r>
      <w:r w:rsidR="00F81436" w:rsidRPr="00085313">
        <w:rPr>
          <w:rFonts w:ascii="Arial" w:hAnsi="Arial" w:cs="Arial"/>
          <w:bCs/>
          <w:sz w:val="24"/>
          <w:szCs w:val="24"/>
        </w:rPr>
        <w:t xml:space="preserve">lhůtu </w:t>
      </w:r>
      <w:r w:rsidRPr="0008531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5130B">
        <w:rPr>
          <w:rFonts w:ascii="Arial" w:hAnsi="Arial" w:cs="Arial"/>
          <w:bCs/>
          <w:sz w:val="24"/>
          <w:szCs w:val="24"/>
        </w:rPr>
        <w:t>S</w:t>
      </w:r>
      <w:r w:rsidRPr="00E5130B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5130B">
        <w:rPr>
          <w:rFonts w:ascii="Arial" w:hAnsi="Arial" w:cs="Arial"/>
          <w:bCs/>
          <w:sz w:val="24"/>
          <w:szCs w:val="24"/>
        </w:rPr>
        <w:t>čuje lhůtu v </w:t>
      </w:r>
      <w:r w:rsidRPr="00E5130B">
        <w:rPr>
          <w:rFonts w:ascii="Arial" w:hAnsi="Arial" w:cs="Arial"/>
          <w:bCs/>
          <w:sz w:val="24"/>
          <w:szCs w:val="24"/>
        </w:rPr>
        <w:t xml:space="preserve">trvání </w:t>
      </w:r>
      <w:r w:rsidRPr="00E5130B">
        <w:rPr>
          <w:rFonts w:ascii="Arial" w:hAnsi="Arial" w:cs="Arial"/>
          <w:sz w:val="24"/>
          <w:szCs w:val="24"/>
        </w:rPr>
        <w:t xml:space="preserve">90 </w:t>
      </w:r>
      <w:r w:rsidRPr="0008531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085313">
        <w:rPr>
          <w:rFonts w:ascii="Arial" w:hAnsi="Arial" w:cs="Arial"/>
          <w:bCs/>
          <w:sz w:val="24"/>
          <w:szCs w:val="24"/>
        </w:rPr>
        <w:t>S</w:t>
      </w:r>
      <w:r w:rsidRPr="0008531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085313">
        <w:rPr>
          <w:rFonts w:ascii="Arial" w:hAnsi="Arial" w:cs="Arial"/>
          <w:bCs/>
          <w:sz w:val="24"/>
          <w:szCs w:val="24"/>
        </w:rPr>
        <w:t>S</w:t>
      </w:r>
      <w:r w:rsidRPr="0008531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085313">
        <w:rPr>
          <w:rFonts w:ascii="Arial" w:hAnsi="Arial" w:cs="Arial"/>
          <w:bCs/>
          <w:sz w:val="24"/>
          <w:szCs w:val="24"/>
        </w:rPr>
        <w:t>S</w:t>
      </w:r>
      <w:r w:rsidRPr="0008531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03E577E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733832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>pro poskytnutí těchto podpor nevylučují.</w:t>
      </w:r>
    </w:p>
    <w:p w14:paraId="4A80259F" w14:textId="77777777" w:rsidR="00691685" w:rsidRPr="0008531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39B6F3E" w:rsidR="00691685" w:rsidRPr="00085313" w:rsidRDefault="00691685" w:rsidP="008B22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085313" w:rsidRDefault="00691685" w:rsidP="008B2298">
      <w:pPr>
        <w:pStyle w:val="Odstavecseseznamem"/>
        <w:numPr>
          <w:ilvl w:val="0"/>
          <w:numId w:val="10"/>
        </w:numPr>
        <w:spacing w:after="20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AB310BB" w:rsidR="00691685" w:rsidRPr="00085313" w:rsidRDefault="00691685" w:rsidP="008B2298">
      <w:pPr>
        <w:pStyle w:val="Odstavecseseznamem"/>
        <w:numPr>
          <w:ilvl w:val="0"/>
          <w:numId w:val="10"/>
        </w:numPr>
        <w:spacing w:after="20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>Vzorov</w:t>
      </w:r>
      <w:r w:rsidR="00296748" w:rsidRPr="00085313">
        <w:rPr>
          <w:rFonts w:ascii="Arial" w:hAnsi="Arial" w:cs="Arial"/>
          <w:bCs/>
          <w:sz w:val="24"/>
          <w:szCs w:val="24"/>
        </w:rPr>
        <w:t>á</w:t>
      </w:r>
      <w:r w:rsidRPr="00085313">
        <w:rPr>
          <w:rFonts w:ascii="Arial" w:hAnsi="Arial" w:cs="Arial"/>
          <w:bCs/>
          <w:sz w:val="24"/>
          <w:szCs w:val="24"/>
        </w:rPr>
        <w:t xml:space="preserve"> </w:t>
      </w:r>
      <w:r w:rsidR="006A3F74" w:rsidRPr="00085313">
        <w:rPr>
          <w:rFonts w:ascii="Arial" w:hAnsi="Arial" w:cs="Arial"/>
          <w:bCs/>
          <w:sz w:val="24"/>
          <w:szCs w:val="24"/>
        </w:rPr>
        <w:t xml:space="preserve">veřejnoprávní </w:t>
      </w:r>
      <w:r w:rsidRPr="00085313">
        <w:rPr>
          <w:rFonts w:ascii="Arial" w:hAnsi="Arial" w:cs="Arial"/>
          <w:bCs/>
          <w:sz w:val="24"/>
          <w:szCs w:val="24"/>
        </w:rPr>
        <w:t>smlouv</w:t>
      </w:r>
      <w:r w:rsidR="00296748" w:rsidRPr="00085313">
        <w:rPr>
          <w:rFonts w:ascii="Arial" w:hAnsi="Arial" w:cs="Arial"/>
          <w:bCs/>
          <w:sz w:val="24"/>
          <w:szCs w:val="24"/>
        </w:rPr>
        <w:t>a</w:t>
      </w:r>
      <w:r w:rsidRPr="00085313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8531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85313">
        <w:rPr>
          <w:rFonts w:ascii="Arial" w:hAnsi="Arial" w:cs="Arial"/>
          <w:bCs/>
          <w:sz w:val="24"/>
          <w:szCs w:val="24"/>
        </w:rPr>
        <w:t>na akci (dle definovaného okruhu žadatelů dotačního programu</w:t>
      </w:r>
      <w:r w:rsidR="00605722" w:rsidRPr="00085313">
        <w:rPr>
          <w:rFonts w:ascii="Arial" w:hAnsi="Arial" w:cs="Arial"/>
          <w:bCs/>
          <w:sz w:val="24"/>
          <w:szCs w:val="24"/>
        </w:rPr>
        <w:t xml:space="preserve"> </w:t>
      </w:r>
      <w:r w:rsidR="00085313" w:rsidRPr="00085313">
        <w:rPr>
          <w:rFonts w:ascii="Arial" w:hAnsi="Arial" w:cs="Arial"/>
          <w:bCs/>
          <w:sz w:val="24"/>
          <w:szCs w:val="24"/>
        </w:rPr>
        <w:t>/</w:t>
      </w:r>
      <w:r w:rsidR="00605722" w:rsidRPr="00085313">
        <w:rPr>
          <w:rFonts w:ascii="Arial" w:hAnsi="Arial" w:cs="Arial"/>
          <w:bCs/>
          <w:sz w:val="24"/>
          <w:szCs w:val="24"/>
        </w:rPr>
        <w:t>V</w:t>
      </w:r>
      <w:r w:rsidR="006A3F74" w:rsidRPr="00085313">
        <w:rPr>
          <w:rFonts w:ascii="Arial" w:hAnsi="Arial" w:cs="Arial"/>
          <w:bCs/>
          <w:sz w:val="24"/>
          <w:szCs w:val="24"/>
        </w:rPr>
        <w:t>zor</w:t>
      </w:r>
      <w:r w:rsidR="00605722" w:rsidRPr="00085313">
        <w:rPr>
          <w:rFonts w:ascii="Arial" w:hAnsi="Arial" w:cs="Arial"/>
          <w:bCs/>
          <w:sz w:val="24"/>
          <w:szCs w:val="24"/>
        </w:rPr>
        <w:t xml:space="preserve"> 7</w:t>
      </w:r>
      <w:r w:rsidR="00085313" w:rsidRPr="00085313">
        <w:rPr>
          <w:rFonts w:ascii="Arial" w:hAnsi="Arial" w:cs="Arial"/>
          <w:bCs/>
          <w:sz w:val="24"/>
          <w:szCs w:val="24"/>
        </w:rPr>
        <w:t>/</w:t>
      </w:r>
      <w:r w:rsidR="00605722" w:rsidRPr="00085313">
        <w:rPr>
          <w:rFonts w:ascii="Arial" w:hAnsi="Arial" w:cs="Arial"/>
          <w:bCs/>
          <w:sz w:val="24"/>
          <w:szCs w:val="24"/>
        </w:rPr>
        <w:t xml:space="preserve">, schválená na zasedání Zastupitelstva Olomouckého kraje dne </w:t>
      </w:r>
      <w:r w:rsidR="006A3F74" w:rsidRPr="00085313">
        <w:rPr>
          <w:rFonts w:ascii="Arial" w:hAnsi="Arial" w:cs="Arial"/>
          <w:bCs/>
          <w:sz w:val="24"/>
          <w:szCs w:val="24"/>
        </w:rPr>
        <w:br/>
      </w:r>
      <w:r w:rsidR="00605722" w:rsidRPr="00085313">
        <w:rPr>
          <w:rFonts w:ascii="Arial" w:hAnsi="Arial" w:cs="Arial"/>
          <w:bCs/>
          <w:sz w:val="24"/>
          <w:szCs w:val="24"/>
        </w:rPr>
        <w:t>20. 9. 2021 usnesením č. UZ/6/12/2021</w:t>
      </w:r>
    </w:p>
    <w:p w14:paraId="5D7C3AD8" w14:textId="4F202AAD" w:rsidR="00E715BC" w:rsidRPr="008B2298" w:rsidRDefault="00E715BC" w:rsidP="00085313">
      <w:pPr>
        <w:ind w:left="0" w:firstLine="0"/>
        <w:rPr>
          <w:rFonts w:ascii="Arial" w:hAnsi="Arial" w:cs="Arial"/>
          <w:bCs/>
          <w:strike/>
          <w:color w:val="0000FF"/>
          <w:sz w:val="24"/>
          <w:szCs w:val="24"/>
        </w:rPr>
      </w:pP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1E79DA9A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3C40E8D" w14:textId="0F0A6956" w:rsidR="00712126" w:rsidRDefault="00712126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D77BAD2" w14:textId="77777777" w:rsidR="00712126" w:rsidRPr="00F450D3" w:rsidRDefault="00712126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1DFCD0D" w14:textId="77777777" w:rsidR="00945BEB" w:rsidRDefault="00945BE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FCF6198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085313">
        <w:rPr>
          <w:rFonts w:ascii="Arial" w:hAnsi="Arial" w:cs="Arial"/>
          <w:bCs/>
          <w:sz w:val="24"/>
          <w:szCs w:val="24"/>
        </w:rPr>
        <w:t>Zastupitelstvem</w:t>
      </w:r>
      <w:r w:rsidR="009D63E1" w:rsidRPr="00085313">
        <w:rPr>
          <w:rFonts w:ascii="Arial" w:hAnsi="Arial" w:cs="Arial"/>
          <w:bCs/>
          <w:sz w:val="24"/>
          <w:szCs w:val="24"/>
        </w:rPr>
        <w:t xml:space="preserve"> </w:t>
      </w:r>
      <w:r w:rsidRPr="0008531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085313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085313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085313">
        <w:rPr>
          <w:rFonts w:ascii="Arial" w:hAnsi="Arial" w:cs="Arial"/>
          <w:bCs/>
          <w:sz w:val="24"/>
          <w:szCs w:val="24"/>
        </w:rPr>
        <w:t xml:space="preserve"> č. </w:t>
      </w:r>
      <w:r w:rsidRPr="00085313">
        <w:rPr>
          <w:rFonts w:ascii="Arial" w:hAnsi="Arial" w:cs="Arial"/>
          <w:bCs/>
          <w:i/>
          <w:sz w:val="24"/>
          <w:szCs w:val="24"/>
        </w:rPr>
        <w:t>UZ/</w:t>
      </w:r>
      <w:r w:rsidR="00B1030A" w:rsidRPr="0008531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75A8148" w14:textId="5434F088" w:rsidR="00733832" w:rsidRDefault="0073383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4DB3CFB" w14:textId="03874C1A" w:rsidR="00712126" w:rsidRDefault="0071212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2ADB4C6" w14:textId="238FCBC0" w:rsidR="00712126" w:rsidRDefault="0071212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E884D6E" w14:textId="77777777" w:rsidR="00712126" w:rsidRDefault="0071212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9A76F02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061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6A3F74" w:rsidRDefault="006A3F74">
      <w:r>
        <w:separator/>
      </w:r>
    </w:p>
  </w:endnote>
  <w:endnote w:type="continuationSeparator" w:id="0">
    <w:p w14:paraId="3243306F" w14:textId="77777777" w:rsidR="006A3F74" w:rsidRDefault="006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B59F0" w14:textId="77777777" w:rsidR="00BD735A" w:rsidRDefault="00BD73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5E9EBDA" w:rsidR="006A3F74" w:rsidRPr="005F3AAD" w:rsidRDefault="00B45FBA" w:rsidP="00613D7E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293B4F">
          <w:rPr>
            <w:rFonts w:ascii="Arial" w:hAnsi="Arial" w:cs="Arial"/>
            <w:i/>
            <w:sz w:val="20"/>
            <w:szCs w:val="20"/>
          </w:rPr>
          <w:t>Zastupitelstvo</w:t>
        </w:r>
        <w:r w:rsidR="006A3F7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293B4F">
          <w:rPr>
            <w:rFonts w:ascii="Arial" w:hAnsi="Arial" w:cs="Arial"/>
            <w:i/>
            <w:sz w:val="20"/>
            <w:szCs w:val="20"/>
          </w:rPr>
          <w:t>12. 12</w:t>
        </w:r>
        <w:r w:rsidR="006A3F74">
          <w:rPr>
            <w:rFonts w:ascii="Arial" w:hAnsi="Arial" w:cs="Arial"/>
            <w:i/>
            <w:sz w:val="20"/>
            <w:szCs w:val="20"/>
          </w:rPr>
          <w:t>. 2022</w:t>
        </w:r>
        <w:r w:rsidR="006A3F74">
          <w:rPr>
            <w:rFonts w:ascii="Arial" w:hAnsi="Arial" w:cs="Arial"/>
            <w:i/>
            <w:sz w:val="20"/>
            <w:szCs w:val="20"/>
          </w:rPr>
          <w:tab/>
        </w:r>
        <w:r w:rsidR="006A3F74">
          <w:rPr>
            <w:rFonts w:ascii="Arial" w:hAnsi="Arial" w:cs="Arial"/>
            <w:i/>
            <w:sz w:val="20"/>
            <w:szCs w:val="20"/>
          </w:rPr>
          <w:tab/>
        </w:r>
        <w:r w:rsidR="006A3F7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A3F7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A3F7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93B63">
          <w:rPr>
            <w:rFonts w:ascii="Arial" w:hAnsi="Arial" w:cs="Arial"/>
            <w:i/>
            <w:sz w:val="20"/>
            <w:szCs w:val="20"/>
          </w:rPr>
          <w:t xml:space="preserve"> 3</w:t>
        </w:r>
        <w:r w:rsidR="002C4A52">
          <w:rPr>
            <w:rFonts w:ascii="Arial" w:hAnsi="Arial" w:cs="Arial"/>
            <w:i/>
            <w:sz w:val="20"/>
            <w:szCs w:val="20"/>
          </w:rPr>
          <w:t>1</w:t>
        </w:r>
        <w:r w:rsidR="006A3F7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70EB232C" w:rsidR="006A3F74" w:rsidRDefault="00B45FBA" w:rsidP="00613D7E">
    <w:pPr>
      <w:pStyle w:val="Zpat"/>
      <w:pBdr>
        <w:top w:val="single" w:sz="4" w:space="1" w:color="auto"/>
      </w:pBdr>
      <w:ind w:left="567" w:hanging="567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48</w:t>
    </w:r>
    <w:bookmarkStart w:id="16" w:name="_GoBack"/>
    <w:bookmarkEnd w:id="16"/>
    <w:r w:rsidR="00AE5CB6">
      <w:rPr>
        <w:rFonts w:ascii="Arial" w:eastAsia="Times New Roman" w:hAnsi="Arial" w:cs="Arial"/>
        <w:i/>
        <w:iCs/>
        <w:sz w:val="20"/>
        <w:szCs w:val="20"/>
        <w:lang w:eastAsia="cs-CZ"/>
      </w:rPr>
      <w:t>. – Dotace obcím na území Olomouckého kraje na řešení mimořádných událostí v oblasti vodohospodářské infrastruktury 2023 - vyhlášení</w:t>
    </w:r>
  </w:p>
  <w:p w14:paraId="7C60837C" w14:textId="79BBF0BF" w:rsidR="006A3F74" w:rsidRPr="000115B7" w:rsidRDefault="00BD735A" w:rsidP="00613D7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  <w:r w:rsidR="00061852"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="006A3F7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E5CB6">
      <w:rPr>
        <w:rFonts w:ascii="Arial" w:eastAsia="Times New Roman" w:hAnsi="Arial" w:cs="Arial"/>
        <w:i/>
        <w:iCs/>
        <w:sz w:val="20"/>
        <w:szCs w:val="20"/>
        <w:lang w:eastAsia="cs-CZ"/>
      </w:rPr>
      <w:t>Pravidla DP 03_02</w:t>
    </w:r>
  </w:p>
  <w:p w14:paraId="2301C71F" w14:textId="679FE6A7" w:rsidR="006A3F74" w:rsidRPr="00D86A51" w:rsidRDefault="006A3F74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6EFD7709" w:rsidR="006A3F74" w:rsidRPr="005F3AAD" w:rsidRDefault="00B45FBA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AE5CB6">
          <w:rPr>
            <w:rFonts w:ascii="Arial" w:hAnsi="Arial" w:cs="Arial"/>
            <w:i/>
            <w:sz w:val="20"/>
            <w:szCs w:val="20"/>
          </w:rPr>
          <w:t>Rada</w:t>
        </w:r>
        <w:r w:rsidR="006A3F7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E5CB6">
          <w:rPr>
            <w:rFonts w:ascii="Arial" w:hAnsi="Arial" w:cs="Arial"/>
            <w:i/>
            <w:sz w:val="20"/>
            <w:szCs w:val="20"/>
          </w:rPr>
          <w:t>21. 11. 2022</w:t>
        </w:r>
        <w:r w:rsidR="006A3F74">
          <w:rPr>
            <w:rFonts w:ascii="Arial" w:hAnsi="Arial" w:cs="Arial"/>
            <w:i/>
            <w:sz w:val="20"/>
            <w:szCs w:val="20"/>
          </w:rPr>
          <w:tab/>
        </w:r>
        <w:r w:rsidR="006A3F74">
          <w:rPr>
            <w:rFonts w:ascii="Arial" w:hAnsi="Arial" w:cs="Arial"/>
            <w:i/>
            <w:sz w:val="20"/>
            <w:szCs w:val="20"/>
          </w:rPr>
          <w:tab/>
        </w:r>
        <w:r w:rsidR="006A3F7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A3F7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E5CB6">
          <w:rPr>
            <w:rFonts w:ascii="Arial" w:hAnsi="Arial" w:cs="Arial"/>
            <w:i/>
            <w:noProof/>
            <w:sz w:val="20"/>
            <w:szCs w:val="20"/>
          </w:rPr>
          <w:t>1</w: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A3F7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A3F74">
          <w:rPr>
            <w:rFonts w:ascii="Arial" w:hAnsi="Arial" w:cs="Arial"/>
            <w:i/>
            <w:sz w:val="20"/>
            <w:szCs w:val="20"/>
          </w:rPr>
          <w:t xml:space="preserve"> </w:t>
        </w:r>
        <w:r w:rsidR="006A3F74">
          <w:rPr>
            <w:rFonts w:ascii="Arial" w:hAnsi="Arial" w:cs="Arial"/>
            <w:i/>
            <w:sz w:val="20"/>
            <w:szCs w:val="20"/>
          </w:rPr>
          <w:fldChar w:fldCharType="begin"/>
        </w:r>
        <w:r w:rsidR="006A3F74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6A3F7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E5CB6">
          <w:rPr>
            <w:rFonts w:ascii="Arial" w:hAnsi="Arial" w:cs="Arial"/>
            <w:i/>
            <w:noProof/>
            <w:sz w:val="20"/>
            <w:szCs w:val="20"/>
          </w:rPr>
          <w:t>15</w:t>
        </w:r>
        <w:r w:rsidR="006A3F74">
          <w:rPr>
            <w:rFonts w:ascii="Arial" w:hAnsi="Arial" w:cs="Arial"/>
            <w:i/>
            <w:sz w:val="20"/>
            <w:szCs w:val="20"/>
          </w:rPr>
          <w:fldChar w:fldCharType="end"/>
        </w:r>
        <w:r w:rsidR="006A3F7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477AC53" w:rsidR="006A3F74" w:rsidRDefault="00AE5CB6" w:rsidP="00AE5CB6">
    <w:pPr>
      <w:pStyle w:val="Zpat"/>
      <w:pBdr>
        <w:top w:val="single" w:sz="4" w:space="1" w:color="auto"/>
      </w:pBdr>
      <w:ind w:left="567" w:hanging="567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X.X. – Dotace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obcím na území Olomouckého kraje na řešení mimořádných událostí v oblasti vodohospodářské infrastruktury 2023</w:t>
    </w:r>
  </w:p>
  <w:p w14:paraId="5A5699FF" w14:textId="52A8AC92" w:rsidR="006A3F74" w:rsidRPr="003642BB" w:rsidRDefault="006A3F74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AE5CB6">
      <w:rPr>
        <w:rFonts w:ascii="Arial" w:eastAsia="Times New Roman" w:hAnsi="Arial" w:cs="Arial"/>
        <w:i/>
        <w:iCs/>
        <w:sz w:val="20"/>
        <w:szCs w:val="20"/>
        <w:lang w:eastAsia="cs-CZ"/>
      </w:rPr>
      <w:t>Pravidla DP 03_02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6A3F74" w:rsidRDefault="006A3F74">
      <w:r>
        <w:separator/>
      </w:r>
    </w:p>
  </w:footnote>
  <w:footnote w:type="continuationSeparator" w:id="0">
    <w:p w14:paraId="5BF488E3" w14:textId="77777777" w:rsidR="006A3F74" w:rsidRDefault="006A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B05FA" w14:textId="77777777" w:rsidR="00BD735A" w:rsidRDefault="00BD73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6A3F74" w:rsidRDefault="006A3F74">
    <w:pPr>
      <w:pStyle w:val="Zhlav"/>
    </w:pPr>
  </w:p>
  <w:p w14:paraId="5FA58F7C" w14:textId="65AB1C63" w:rsidR="006A3F74" w:rsidRDefault="00BD735A" w:rsidP="00BD735A">
    <w:pPr>
      <w:pStyle w:val="Zhlav"/>
      <w:tabs>
        <w:tab w:val="clear" w:pos="4536"/>
        <w:tab w:val="clear" w:pos="9072"/>
        <w:tab w:val="left" w:pos="1900"/>
      </w:tabs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6A3F74" w:rsidRDefault="006A3F7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92"/>
    <w:multiLevelType w:val="hybridMultilevel"/>
    <w:tmpl w:val="6CC88C8E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1474"/>
    <w:multiLevelType w:val="hybridMultilevel"/>
    <w:tmpl w:val="C8AC2A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04E19B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7D57"/>
    <w:multiLevelType w:val="hybridMultilevel"/>
    <w:tmpl w:val="936E9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9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93AEA"/>
    <w:multiLevelType w:val="hybridMultilevel"/>
    <w:tmpl w:val="3CD2A616"/>
    <w:lvl w:ilvl="0" w:tplc="040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0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F11D22"/>
    <w:multiLevelType w:val="hybridMultilevel"/>
    <w:tmpl w:val="CD6C5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1D6158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F5380D"/>
    <w:multiLevelType w:val="hybridMultilevel"/>
    <w:tmpl w:val="1738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068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8" w15:restartNumberingAfterBreak="0">
    <w:nsid w:val="694F37AE"/>
    <w:multiLevelType w:val="hybridMultilevel"/>
    <w:tmpl w:val="BF220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57B30"/>
    <w:multiLevelType w:val="hybridMultilevel"/>
    <w:tmpl w:val="78B89012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5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7" w15:restartNumberingAfterBreak="0">
    <w:nsid w:val="7A8F1159"/>
    <w:multiLevelType w:val="multilevel"/>
    <w:tmpl w:val="C2E8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0" w15:restartNumberingAfterBreak="0">
    <w:nsid w:val="7FCF06BE"/>
    <w:multiLevelType w:val="hybridMultilevel"/>
    <w:tmpl w:val="D0108E62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7"/>
  </w:num>
  <w:num w:numId="3">
    <w:abstractNumId w:val="21"/>
  </w:num>
  <w:num w:numId="4">
    <w:abstractNumId w:val="24"/>
  </w:num>
  <w:num w:numId="5">
    <w:abstractNumId w:val="3"/>
  </w:num>
  <w:num w:numId="6">
    <w:abstractNumId w:val="8"/>
  </w:num>
  <w:num w:numId="7">
    <w:abstractNumId w:val="13"/>
  </w:num>
  <w:num w:numId="8">
    <w:abstractNumId w:val="5"/>
  </w:num>
  <w:num w:numId="9">
    <w:abstractNumId w:val="44"/>
  </w:num>
  <w:num w:numId="10">
    <w:abstractNumId w:val="34"/>
  </w:num>
  <w:num w:numId="11">
    <w:abstractNumId w:val="22"/>
  </w:num>
  <w:num w:numId="12">
    <w:abstractNumId w:val="40"/>
  </w:num>
  <w:num w:numId="13">
    <w:abstractNumId w:val="42"/>
  </w:num>
  <w:num w:numId="14">
    <w:abstractNumId w:val="39"/>
  </w:num>
  <w:num w:numId="15">
    <w:abstractNumId w:val="49"/>
  </w:num>
  <w:num w:numId="16">
    <w:abstractNumId w:val="1"/>
  </w:num>
  <w:num w:numId="17">
    <w:abstractNumId w:val="26"/>
  </w:num>
  <w:num w:numId="18">
    <w:abstractNumId w:val="6"/>
  </w:num>
  <w:num w:numId="19">
    <w:abstractNumId w:val="15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17"/>
  </w:num>
  <w:num w:numId="27">
    <w:abstractNumId w:val="18"/>
  </w:num>
  <w:num w:numId="28">
    <w:abstractNumId w:val="16"/>
  </w:num>
  <w:num w:numId="29">
    <w:abstractNumId w:val="12"/>
  </w:num>
  <w:num w:numId="30">
    <w:abstractNumId w:val="4"/>
  </w:num>
  <w:num w:numId="31">
    <w:abstractNumId w:val="10"/>
  </w:num>
  <w:num w:numId="32">
    <w:abstractNumId w:val="25"/>
  </w:num>
  <w:num w:numId="33">
    <w:abstractNumId w:val="11"/>
  </w:num>
  <w:num w:numId="34">
    <w:abstractNumId w:val="20"/>
  </w:num>
  <w:num w:numId="35">
    <w:abstractNumId w:val="30"/>
  </w:num>
  <w:num w:numId="36">
    <w:abstractNumId w:val="29"/>
  </w:num>
  <w:num w:numId="37">
    <w:abstractNumId w:val="31"/>
  </w:num>
  <w:num w:numId="38">
    <w:abstractNumId w:val="28"/>
  </w:num>
  <w:num w:numId="39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3"/>
  </w:num>
  <w:num w:numId="42">
    <w:abstractNumId w:val="14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45"/>
  </w:num>
  <w:num w:numId="48">
    <w:abstractNumId w:val="19"/>
  </w:num>
  <w:num w:numId="49">
    <w:abstractNumId w:val="50"/>
  </w:num>
  <w:num w:numId="50">
    <w:abstractNumId w:val="0"/>
  </w:num>
  <w:num w:numId="51">
    <w:abstractNumId w:val="32"/>
  </w:num>
  <w:num w:numId="52">
    <w:abstractNumId w:val="43"/>
  </w:num>
  <w:num w:numId="53">
    <w:abstractNumId w:val="7"/>
  </w:num>
  <w:num w:numId="54">
    <w:abstractNumId w:val="38"/>
  </w:num>
  <w:num w:numId="55">
    <w:abstractNumId w:val="2"/>
  </w:num>
  <w:num w:numId="56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27869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852"/>
    <w:rsid w:val="00062D5A"/>
    <w:rsid w:val="00063A49"/>
    <w:rsid w:val="00063BD6"/>
    <w:rsid w:val="00064553"/>
    <w:rsid w:val="00064DB9"/>
    <w:rsid w:val="0006554A"/>
    <w:rsid w:val="0006649A"/>
    <w:rsid w:val="00066DDA"/>
    <w:rsid w:val="000679E6"/>
    <w:rsid w:val="00067FB5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313"/>
    <w:rsid w:val="00085961"/>
    <w:rsid w:val="00085D10"/>
    <w:rsid w:val="00085FD8"/>
    <w:rsid w:val="0008630E"/>
    <w:rsid w:val="00086AA6"/>
    <w:rsid w:val="00086C9A"/>
    <w:rsid w:val="00087E74"/>
    <w:rsid w:val="00090417"/>
    <w:rsid w:val="000904F1"/>
    <w:rsid w:val="00090A59"/>
    <w:rsid w:val="00091B06"/>
    <w:rsid w:val="00091B65"/>
    <w:rsid w:val="00092318"/>
    <w:rsid w:val="000923FC"/>
    <w:rsid w:val="00093161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42D"/>
    <w:rsid w:val="000B6BFB"/>
    <w:rsid w:val="000B6E5A"/>
    <w:rsid w:val="000B6F18"/>
    <w:rsid w:val="000B7B28"/>
    <w:rsid w:val="000B7CE1"/>
    <w:rsid w:val="000C0CA2"/>
    <w:rsid w:val="000C1807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A08"/>
    <w:rsid w:val="00154F67"/>
    <w:rsid w:val="00154F88"/>
    <w:rsid w:val="00155465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B26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15"/>
    <w:rsid w:val="001B728F"/>
    <w:rsid w:val="001B7E48"/>
    <w:rsid w:val="001B7EBF"/>
    <w:rsid w:val="001B7FEE"/>
    <w:rsid w:val="001C0335"/>
    <w:rsid w:val="001C1350"/>
    <w:rsid w:val="001C1906"/>
    <w:rsid w:val="001C1DFC"/>
    <w:rsid w:val="001C218E"/>
    <w:rsid w:val="001C2AF2"/>
    <w:rsid w:val="001C3036"/>
    <w:rsid w:val="001C3254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6D40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197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851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47FB5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0B5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02E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3B4F"/>
    <w:rsid w:val="00294297"/>
    <w:rsid w:val="00294EE4"/>
    <w:rsid w:val="002953BF"/>
    <w:rsid w:val="00295F90"/>
    <w:rsid w:val="00296748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4A52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D7DC4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1943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677A6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146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7A1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8F3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0CD"/>
    <w:rsid w:val="00441B71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1E1C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45D"/>
    <w:rsid w:val="004B666D"/>
    <w:rsid w:val="004C0426"/>
    <w:rsid w:val="004C0F88"/>
    <w:rsid w:val="004C1641"/>
    <w:rsid w:val="004C198F"/>
    <w:rsid w:val="004C266B"/>
    <w:rsid w:val="004C269D"/>
    <w:rsid w:val="004C2EA4"/>
    <w:rsid w:val="004C301B"/>
    <w:rsid w:val="004C3F04"/>
    <w:rsid w:val="004C44AD"/>
    <w:rsid w:val="004C50A1"/>
    <w:rsid w:val="004C538F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5F18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07B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3B3"/>
    <w:rsid w:val="00591611"/>
    <w:rsid w:val="005916D3"/>
    <w:rsid w:val="005917A6"/>
    <w:rsid w:val="005929A9"/>
    <w:rsid w:val="005930E9"/>
    <w:rsid w:val="00593360"/>
    <w:rsid w:val="00593A97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16AE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722"/>
    <w:rsid w:val="00605DFC"/>
    <w:rsid w:val="006078C9"/>
    <w:rsid w:val="00611528"/>
    <w:rsid w:val="006116CD"/>
    <w:rsid w:val="00611758"/>
    <w:rsid w:val="006126C0"/>
    <w:rsid w:val="00613D7E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38F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1B5A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382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399"/>
    <w:rsid w:val="0068762E"/>
    <w:rsid w:val="00687897"/>
    <w:rsid w:val="00687D24"/>
    <w:rsid w:val="00690D54"/>
    <w:rsid w:val="00691685"/>
    <w:rsid w:val="0069168A"/>
    <w:rsid w:val="00691877"/>
    <w:rsid w:val="0069191E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3F74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34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805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4EF"/>
    <w:rsid w:val="006F2508"/>
    <w:rsid w:val="006F2C94"/>
    <w:rsid w:val="006F32FA"/>
    <w:rsid w:val="006F4BE4"/>
    <w:rsid w:val="006F548B"/>
    <w:rsid w:val="006F5CA7"/>
    <w:rsid w:val="006F61C2"/>
    <w:rsid w:val="006F6255"/>
    <w:rsid w:val="006F74BC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126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83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033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518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AE8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6911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07B"/>
    <w:rsid w:val="008B2298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E7B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AD0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6C4F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BE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968"/>
    <w:rsid w:val="00975B47"/>
    <w:rsid w:val="00976351"/>
    <w:rsid w:val="00976703"/>
    <w:rsid w:val="00977922"/>
    <w:rsid w:val="00977C9F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5DB1"/>
    <w:rsid w:val="0099758D"/>
    <w:rsid w:val="00997DDC"/>
    <w:rsid w:val="00997E2F"/>
    <w:rsid w:val="009A046A"/>
    <w:rsid w:val="009A0686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5D6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294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3DE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C60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400"/>
    <w:rsid w:val="00AD49A4"/>
    <w:rsid w:val="00AD590C"/>
    <w:rsid w:val="00AD66DE"/>
    <w:rsid w:val="00AD6CCE"/>
    <w:rsid w:val="00AD6E69"/>
    <w:rsid w:val="00AD6FF3"/>
    <w:rsid w:val="00AD7088"/>
    <w:rsid w:val="00AE006A"/>
    <w:rsid w:val="00AE0262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CB6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1E01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FBA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7AE"/>
    <w:rsid w:val="00B67D3F"/>
    <w:rsid w:val="00B70137"/>
    <w:rsid w:val="00B708B0"/>
    <w:rsid w:val="00B7160E"/>
    <w:rsid w:val="00B7369A"/>
    <w:rsid w:val="00B73830"/>
    <w:rsid w:val="00B760F0"/>
    <w:rsid w:val="00B7713E"/>
    <w:rsid w:val="00B77215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A9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B4E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35A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7F6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B8B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5B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3B63"/>
    <w:rsid w:val="00C9401A"/>
    <w:rsid w:val="00C9457D"/>
    <w:rsid w:val="00C95820"/>
    <w:rsid w:val="00C95EF0"/>
    <w:rsid w:val="00C960B7"/>
    <w:rsid w:val="00C96DFD"/>
    <w:rsid w:val="00C97A88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870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6D92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0C02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07B6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D5E"/>
    <w:rsid w:val="00D75DFF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483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5E0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3C7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2143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11B6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14C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4670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0B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505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5E69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A06"/>
    <w:rsid w:val="00EC5FC5"/>
    <w:rsid w:val="00EC6F8C"/>
    <w:rsid w:val="00EC775E"/>
    <w:rsid w:val="00ED0347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2F5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3C22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54AB"/>
    <w:rsid w:val="00F56E1F"/>
    <w:rsid w:val="00F5728D"/>
    <w:rsid w:val="00F5778C"/>
    <w:rsid w:val="00F57B0B"/>
    <w:rsid w:val="00F60BBA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A01"/>
    <w:rsid w:val="00F64DFE"/>
    <w:rsid w:val="00F64ED6"/>
    <w:rsid w:val="00F65D97"/>
    <w:rsid w:val="00F65DD9"/>
    <w:rsid w:val="00F662C4"/>
    <w:rsid w:val="00F6697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D5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6C9A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8F7B-F633-4BD5-A438-4D094BD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4848</Words>
  <Characters>28605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35</cp:revision>
  <cp:lastPrinted>2022-10-12T07:54:00Z</cp:lastPrinted>
  <dcterms:created xsi:type="dcterms:W3CDTF">2022-10-13T07:14:00Z</dcterms:created>
  <dcterms:modified xsi:type="dcterms:W3CDTF">2022-11-22T08:34:00Z</dcterms:modified>
</cp:coreProperties>
</file>