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25AA8" w14:textId="77777777" w:rsidR="0049298D" w:rsidRPr="001E5231" w:rsidRDefault="0049298D" w:rsidP="0049298D">
      <w:pPr>
        <w:pStyle w:val="Default"/>
        <w:jc w:val="both"/>
        <w:rPr>
          <w:rFonts w:ascii="Arial" w:hAnsi="Arial" w:cs="Arial"/>
          <w:color w:val="auto"/>
        </w:rPr>
      </w:pPr>
    </w:p>
    <w:p w14:paraId="758C95E0" w14:textId="77777777" w:rsidR="0049298D" w:rsidRPr="001E5231" w:rsidRDefault="0049298D" w:rsidP="0049298D">
      <w:pPr>
        <w:pStyle w:val="Default"/>
        <w:spacing w:before="120" w:after="120"/>
        <w:jc w:val="center"/>
        <w:rPr>
          <w:rFonts w:ascii="Arial" w:hAnsi="Arial" w:cs="Arial"/>
          <w:color w:val="auto"/>
        </w:rPr>
      </w:pPr>
      <w:r w:rsidRPr="001E5231">
        <w:rPr>
          <w:rFonts w:ascii="Arial" w:hAnsi="Arial" w:cs="Arial"/>
          <w:b/>
          <w:bCs/>
          <w:color w:val="auto"/>
        </w:rPr>
        <w:t>Smlouva o poskytnutí dotace</w:t>
      </w:r>
    </w:p>
    <w:p w14:paraId="2D5EB115" w14:textId="77777777" w:rsidR="0049298D" w:rsidRPr="001E5231" w:rsidRDefault="0049298D" w:rsidP="0049298D">
      <w:pPr>
        <w:pStyle w:val="Default"/>
        <w:jc w:val="both"/>
        <w:rPr>
          <w:rFonts w:ascii="Arial" w:hAnsi="Arial" w:cs="Arial"/>
          <w:color w:val="auto"/>
        </w:rPr>
      </w:pPr>
      <w:r w:rsidRPr="001E5231">
        <w:rPr>
          <w:rFonts w:ascii="Arial" w:hAnsi="Arial" w:cs="Arial"/>
          <w:color w:val="auto"/>
        </w:rPr>
        <w:t>uzavřená v souladu s § 159 a násl. zákona č. 500/2004 Sb., správní řád, ve znění pozdějších právních předpisů, a se zákonem č. 250/2000 Sb., o rozpočtových pravidlech územních rozpočtů, ve znění pozdějších právních předpisů</w:t>
      </w:r>
    </w:p>
    <w:p w14:paraId="24BC2C1A" w14:textId="77777777" w:rsidR="0049298D" w:rsidRPr="001E5231" w:rsidRDefault="0049298D" w:rsidP="0049298D">
      <w:pPr>
        <w:pStyle w:val="Default"/>
        <w:spacing w:line="276" w:lineRule="auto"/>
        <w:jc w:val="both"/>
        <w:rPr>
          <w:rFonts w:ascii="Arial" w:hAnsi="Arial" w:cs="Arial"/>
          <w:color w:val="auto"/>
        </w:rPr>
      </w:pPr>
    </w:p>
    <w:p w14:paraId="61F4A122" w14:textId="77777777" w:rsidR="0049298D" w:rsidRPr="001E5231" w:rsidRDefault="0049298D" w:rsidP="0049298D">
      <w:pPr>
        <w:pStyle w:val="Default"/>
        <w:spacing w:line="276" w:lineRule="auto"/>
        <w:jc w:val="both"/>
        <w:rPr>
          <w:rFonts w:ascii="Arial" w:hAnsi="Arial" w:cs="Arial"/>
          <w:color w:val="auto"/>
        </w:rPr>
      </w:pPr>
      <w:r w:rsidRPr="001E5231">
        <w:rPr>
          <w:rFonts w:ascii="Arial" w:hAnsi="Arial" w:cs="Arial"/>
          <w:b/>
          <w:bCs/>
          <w:color w:val="auto"/>
        </w:rPr>
        <w:t>Olomoucký kraj</w:t>
      </w:r>
    </w:p>
    <w:p w14:paraId="00D67E55" w14:textId="77777777" w:rsidR="0049298D" w:rsidRPr="001E5231" w:rsidRDefault="0049298D" w:rsidP="0049298D">
      <w:pPr>
        <w:pStyle w:val="Default"/>
        <w:spacing w:line="276" w:lineRule="auto"/>
        <w:jc w:val="both"/>
        <w:rPr>
          <w:rFonts w:ascii="Arial" w:hAnsi="Arial" w:cs="Arial"/>
          <w:color w:val="auto"/>
        </w:rPr>
      </w:pPr>
      <w:r w:rsidRPr="001E5231">
        <w:rPr>
          <w:rFonts w:ascii="Arial" w:hAnsi="Arial" w:cs="Arial"/>
          <w:color w:val="auto"/>
        </w:rPr>
        <w:t xml:space="preserve">Sídlo: </w:t>
      </w:r>
      <w:r w:rsidRPr="001E5231">
        <w:rPr>
          <w:rFonts w:ascii="Arial" w:hAnsi="Arial" w:cs="Arial"/>
          <w:color w:val="auto"/>
        </w:rPr>
        <w:tab/>
      </w:r>
      <w:r w:rsidRPr="001E5231">
        <w:rPr>
          <w:rFonts w:ascii="Arial" w:hAnsi="Arial" w:cs="Arial"/>
          <w:color w:val="auto"/>
        </w:rPr>
        <w:tab/>
        <w:t>Jeremenkova 1191/40a, 779 00 Olomouc</w:t>
      </w:r>
    </w:p>
    <w:p w14:paraId="3FB92259" w14:textId="77777777" w:rsidR="0049298D" w:rsidRPr="001E5231" w:rsidRDefault="0049298D" w:rsidP="0049298D">
      <w:pPr>
        <w:pStyle w:val="Default"/>
        <w:spacing w:line="276" w:lineRule="auto"/>
        <w:jc w:val="both"/>
        <w:rPr>
          <w:rFonts w:ascii="Arial" w:hAnsi="Arial" w:cs="Arial"/>
          <w:color w:val="auto"/>
        </w:rPr>
      </w:pPr>
      <w:r w:rsidRPr="001E5231">
        <w:rPr>
          <w:rFonts w:ascii="Arial" w:hAnsi="Arial" w:cs="Arial"/>
          <w:color w:val="auto"/>
        </w:rPr>
        <w:t xml:space="preserve">IČO: </w:t>
      </w:r>
      <w:r w:rsidRPr="001E5231">
        <w:rPr>
          <w:rFonts w:ascii="Arial" w:hAnsi="Arial" w:cs="Arial"/>
          <w:color w:val="auto"/>
        </w:rPr>
        <w:tab/>
      </w:r>
      <w:r w:rsidRPr="001E5231">
        <w:rPr>
          <w:rFonts w:ascii="Arial" w:hAnsi="Arial" w:cs="Arial"/>
          <w:color w:val="auto"/>
        </w:rPr>
        <w:tab/>
        <w:t>60609460</w:t>
      </w:r>
    </w:p>
    <w:p w14:paraId="3C679543" w14:textId="77777777" w:rsidR="0049298D" w:rsidRPr="001E5231" w:rsidRDefault="0049298D" w:rsidP="0049298D">
      <w:pPr>
        <w:pStyle w:val="Default"/>
        <w:spacing w:line="276" w:lineRule="auto"/>
        <w:jc w:val="both"/>
        <w:rPr>
          <w:rFonts w:ascii="Arial" w:hAnsi="Arial" w:cs="Arial"/>
          <w:color w:val="auto"/>
        </w:rPr>
      </w:pPr>
      <w:r w:rsidRPr="001E5231">
        <w:rPr>
          <w:rFonts w:ascii="Arial" w:hAnsi="Arial" w:cs="Arial"/>
          <w:color w:val="auto"/>
        </w:rPr>
        <w:t xml:space="preserve">DIČ: </w:t>
      </w:r>
      <w:r w:rsidRPr="001E5231">
        <w:rPr>
          <w:rFonts w:ascii="Arial" w:hAnsi="Arial" w:cs="Arial"/>
          <w:color w:val="auto"/>
        </w:rPr>
        <w:tab/>
      </w:r>
      <w:r w:rsidRPr="001E5231">
        <w:rPr>
          <w:rFonts w:ascii="Arial" w:hAnsi="Arial" w:cs="Arial"/>
          <w:color w:val="auto"/>
        </w:rPr>
        <w:tab/>
        <w:t>CZ60609460</w:t>
      </w:r>
    </w:p>
    <w:p w14:paraId="6CD603FA" w14:textId="77777777" w:rsidR="0049298D" w:rsidRPr="001E5231" w:rsidRDefault="0049298D" w:rsidP="0049298D">
      <w:pPr>
        <w:spacing w:after="120" w:line="276" w:lineRule="auto"/>
        <w:ind w:left="1410" w:hanging="1410"/>
        <w:rPr>
          <w:rFonts w:ascii="Arial" w:hAnsi="Arial" w:cs="Arial"/>
        </w:rPr>
      </w:pPr>
      <w:r w:rsidRPr="001E5231">
        <w:rPr>
          <w:rFonts w:ascii="Arial" w:hAnsi="Arial" w:cs="Arial"/>
        </w:rPr>
        <w:t xml:space="preserve">Zastoupený:  Bc. Janem Žůrkem, členem rady Olomouckého kraje, </w:t>
      </w:r>
    </w:p>
    <w:p w14:paraId="69638973" w14:textId="46572A1F" w:rsidR="0049298D" w:rsidRPr="001E5231" w:rsidRDefault="0050120E" w:rsidP="0049298D">
      <w:pPr>
        <w:spacing w:after="120" w:line="276" w:lineRule="auto"/>
        <w:ind w:left="1410"/>
        <w:rPr>
          <w:rFonts w:ascii="Arial" w:hAnsi="Arial" w:cs="Arial"/>
        </w:rPr>
      </w:pPr>
      <w:r>
        <w:rPr>
          <w:rFonts w:ascii="Arial" w:hAnsi="Arial" w:cs="Arial"/>
        </w:rPr>
        <w:t xml:space="preserve"> </w:t>
      </w:r>
      <w:r w:rsidR="0049298D" w:rsidRPr="001E5231">
        <w:rPr>
          <w:rFonts w:ascii="Arial" w:hAnsi="Arial" w:cs="Arial"/>
        </w:rPr>
        <w:t>na základě pověření hejtmana Olomouckého kraje ze dne 30. 10. 2020</w:t>
      </w:r>
    </w:p>
    <w:p w14:paraId="2A9CF5E4" w14:textId="77777777" w:rsidR="0049298D" w:rsidRPr="001E5231" w:rsidRDefault="0049298D" w:rsidP="0049298D">
      <w:pPr>
        <w:pStyle w:val="Default"/>
        <w:spacing w:line="276" w:lineRule="auto"/>
        <w:jc w:val="both"/>
        <w:rPr>
          <w:rFonts w:ascii="Arial" w:hAnsi="Arial" w:cs="Arial"/>
          <w:color w:val="auto"/>
        </w:rPr>
      </w:pPr>
      <w:r w:rsidRPr="001E5231">
        <w:rPr>
          <w:rFonts w:ascii="Arial" w:hAnsi="Arial" w:cs="Arial"/>
          <w:color w:val="auto"/>
        </w:rPr>
        <w:t>Bankovní spojení:</w:t>
      </w:r>
      <w:r w:rsidRPr="001E5231">
        <w:rPr>
          <w:rFonts w:ascii="Arial" w:eastAsia="Times New Roman" w:hAnsi="Arial" w:cs="Arial"/>
          <w:lang w:eastAsia="cs-CZ"/>
        </w:rPr>
        <w:t xml:space="preserve"> 27-4228120277/0100, Komerční banka, a.s., Olomouc</w:t>
      </w:r>
    </w:p>
    <w:p w14:paraId="629201FE" w14:textId="77777777" w:rsidR="0049298D" w:rsidRPr="001E5231" w:rsidRDefault="0049298D" w:rsidP="0049298D">
      <w:pPr>
        <w:pStyle w:val="Default"/>
        <w:spacing w:line="276" w:lineRule="auto"/>
        <w:jc w:val="both"/>
        <w:rPr>
          <w:rFonts w:ascii="Arial" w:hAnsi="Arial" w:cs="Arial"/>
          <w:color w:val="auto"/>
        </w:rPr>
      </w:pPr>
      <w:r w:rsidRPr="001E5231">
        <w:rPr>
          <w:rFonts w:ascii="Arial" w:hAnsi="Arial" w:cs="Arial"/>
          <w:color w:val="auto"/>
        </w:rPr>
        <w:t>(dále jen „poskytovatel“)</w:t>
      </w:r>
    </w:p>
    <w:p w14:paraId="16636922" w14:textId="77777777" w:rsidR="0049298D" w:rsidRPr="001E5231" w:rsidRDefault="0049298D" w:rsidP="0049298D">
      <w:pPr>
        <w:pStyle w:val="Default"/>
        <w:jc w:val="both"/>
        <w:rPr>
          <w:rFonts w:ascii="Arial" w:hAnsi="Arial" w:cs="Arial"/>
          <w:color w:val="auto"/>
        </w:rPr>
      </w:pPr>
      <w:r w:rsidRPr="001E5231">
        <w:rPr>
          <w:rFonts w:ascii="Arial" w:hAnsi="Arial" w:cs="Arial"/>
          <w:color w:val="auto"/>
        </w:rPr>
        <w:tab/>
      </w:r>
    </w:p>
    <w:p w14:paraId="7EC4FA7D" w14:textId="77777777" w:rsidR="0049298D" w:rsidRPr="001E5231" w:rsidRDefault="0049298D" w:rsidP="0049298D">
      <w:pPr>
        <w:pStyle w:val="Default"/>
        <w:jc w:val="both"/>
        <w:rPr>
          <w:rFonts w:ascii="Arial" w:hAnsi="Arial" w:cs="Arial"/>
          <w:b/>
          <w:bCs/>
          <w:color w:val="auto"/>
        </w:rPr>
      </w:pPr>
      <w:r w:rsidRPr="001E5231">
        <w:rPr>
          <w:rFonts w:ascii="Arial" w:hAnsi="Arial" w:cs="Arial"/>
          <w:b/>
          <w:bCs/>
          <w:color w:val="auto"/>
        </w:rPr>
        <w:t>a</w:t>
      </w:r>
    </w:p>
    <w:p w14:paraId="65CA9601" w14:textId="77777777" w:rsidR="0049298D" w:rsidRPr="001E5231" w:rsidRDefault="0049298D" w:rsidP="0049298D">
      <w:pPr>
        <w:pStyle w:val="Default"/>
        <w:jc w:val="both"/>
        <w:rPr>
          <w:rFonts w:ascii="Arial" w:hAnsi="Arial" w:cs="Arial"/>
          <w:color w:val="auto"/>
        </w:rPr>
      </w:pPr>
    </w:p>
    <w:p w14:paraId="27E9834D" w14:textId="77777777" w:rsidR="0049298D" w:rsidRPr="001E5231" w:rsidRDefault="0049298D" w:rsidP="0049298D">
      <w:pPr>
        <w:pStyle w:val="Default"/>
        <w:spacing w:line="276" w:lineRule="auto"/>
        <w:jc w:val="both"/>
        <w:rPr>
          <w:rFonts w:ascii="Arial" w:hAnsi="Arial" w:cs="Arial"/>
          <w:color w:val="auto"/>
        </w:rPr>
      </w:pPr>
      <w:r w:rsidRPr="001E5231">
        <w:rPr>
          <w:rFonts w:ascii="Arial" w:hAnsi="Arial" w:cs="Arial"/>
          <w:b/>
          <w:bCs/>
          <w:color w:val="auto"/>
        </w:rPr>
        <w:t>Obec Město Libavá</w:t>
      </w:r>
    </w:p>
    <w:p w14:paraId="445ED9C5" w14:textId="77777777" w:rsidR="0049298D" w:rsidRPr="001E5231" w:rsidRDefault="0049298D" w:rsidP="0049298D">
      <w:pPr>
        <w:pStyle w:val="Default"/>
        <w:spacing w:line="276" w:lineRule="auto"/>
        <w:jc w:val="both"/>
        <w:rPr>
          <w:rFonts w:ascii="Arial" w:hAnsi="Arial" w:cs="Arial"/>
          <w:color w:val="auto"/>
        </w:rPr>
      </w:pPr>
      <w:r w:rsidRPr="001E5231">
        <w:rPr>
          <w:rFonts w:ascii="Arial" w:hAnsi="Arial" w:cs="Arial"/>
          <w:color w:val="auto"/>
        </w:rPr>
        <w:t xml:space="preserve">Sídlo: </w:t>
      </w:r>
      <w:r w:rsidRPr="001E5231">
        <w:rPr>
          <w:rFonts w:ascii="Arial" w:hAnsi="Arial" w:cs="Arial"/>
          <w:color w:val="auto"/>
        </w:rPr>
        <w:tab/>
      </w:r>
      <w:r w:rsidRPr="001E5231">
        <w:rPr>
          <w:rFonts w:ascii="Arial" w:hAnsi="Arial" w:cs="Arial"/>
          <w:color w:val="auto"/>
        </w:rPr>
        <w:tab/>
        <w:t>Berounská 41, 783 07 Město Libavá</w:t>
      </w:r>
    </w:p>
    <w:p w14:paraId="05D52845" w14:textId="77777777" w:rsidR="0049298D" w:rsidRPr="001E5231" w:rsidRDefault="0049298D" w:rsidP="0049298D">
      <w:pPr>
        <w:pStyle w:val="Default"/>
        <w:spacing w:line="276" w:lineRule="auto"/>
        <w:jc w:val="both"/>
        <w:rPr>
          <w:rFonts w:ascii="Arial" w:hAnsi="Arial" w:cs="Arial"/>
          <w:color w:val="auto"/>
        </w:rPr>
      </w:pPr>
      <w:r w:rsidRPr="001E5231">
        <w:rPr>
          <w:rFonts w:ascii="Arial" w:hAnsi="Arial" w:cs="Arial"/>
          <w:color w:val="auto"/>
        </w:rPr>
        <w:t xml:space="preserve">IČO: </w:t>
      </w:r>
      <w:r w:rsidRPr="001E5231">
        <w:rPr>
          <w:rFonts w:ascii="Arial" w:hAnsi="Arial" w:cs="Arial"/>
          <w:color w:val="auto"/>
        </w:rPr>
        <w:tab/>
      </w:r>
      <w:r w:rsidRPr="001E5231">
        <w:rPr>
          <w:rFonts w:ascii="Arial" w:hAnsi="Arial" w:cs="Arial"/>
          <w:color w:val="auto"/>
        </w:rPr>
        <w:tab/>
        <w:t>04498704</w:t>
      </w:r>
    </w:p>
    <w:p w14:paraId="5D76A067" w14:textId="77777777" w:rsidR="0049298D" w:rsidRPr="001E5231" w:rsidRDefault="0049298D" w:rsidP="0049298D">
      <w:pPr>
        <w:pStyle w:val="Default"/>
        <w:spacing w:line="276" w:lineRule="auto"/>
        <w:jc w:val="both"/>
        <w:rPr>
          <w:rFonts w:ascii="Arial" w:hAnsi="Arial" w:cs="Arial"/>
          <w:color w:val="auto"/>
        </w:rPr>
      </w:pPr>
      <w:r w:rsidRPr="001E5231">
        <w:rPr>
          <w:rFonts w:ascii="Arial" w:hAnsi="Arial" w:cs="Arial"/>
          <w:color w:val="auto"/>
        </w:rPr>
        <w:t xml:space="preserve">DIČ: </w:t>
      </w:r>
      <w:r w:rsidRPr="001E5231">
        <w:rPr>
          <w:rFonts w:ascii="Arial" w:hAnsi="Arial" w:cs="Arial"/>
          <w:color w:val="auto"/>
        </w:rPr>
        <w:tab/>
      </w:r>
      <w:r w:rsidRPr="001E5231">
        <w:rPr>
          <w:rFonts w:ascii="Arial" w:hAnsi="Arial" w:cs="Arial"/>
          <w:color w:val="auto"/>
        </w:rPr>
        <w:tab/>
        <w:t>CZ04498704</w:t>
      </w:r>
    </w:p>
    <w:p w14:paraId="2AF4783F" w14:textId="77777777" w:rsidR="0049298D" w:rsidRPr="001E5231" w:rsidRDefault="0049298D" w:rsidP="0049298D">
      <w:pPr>
        <w:pStyle w:val="Default"/>
        <w:spacing w:line="276" w:lineRule="auto"/>
        <w:jc w:val="both"/>
        <w:rPr>
          <w:rFonts w:ascii="Arial" w:hAnsi="Arial" w:cs="Arial"/>
          <w:color w:val="auto"/>
        </w:rPr>
      </w:pPr>
      <w:r w:rsidRPr="001E5231">
        <w:rPr>
          <w:rFonts w:ascii="Arial" w:hAnsi="Arial" w:cs="Arial"/>
          <w:color w:val="auto"/>
        </w:rPr>
        <w:t>Zastoupená:  Bc. Štěpánkou Tichou</w:t>
      </w:r>
    </w:p>
    <w:p w14:paraId="7FB5C0C8" w14:textId="77777777" w:rsidR="0049298D" w:rsidRPr="001E5231" w:rsidRDefault="0049298D" w:rsidP="0049298D">
      <w:pPr>
        <w:pStyle w:val="Default"/>
        <w:spacing w:line="276" w:lineRule="auto"/>
        <w:jc w:val="both"/>
        <w:rPr>
          <w:rFonts w:ascii="Arial" w:hAnsi="Arial" w:cs="Arial"/>
          <w:color w:val="auto"/>
        </w:rPr>
      </w:pPr>
      <w:r w:rsidRPr="001E5231">
        <w:rPr>
          <w:rFonts w:ascii="Arial" w:hAnsi="Arial" w:cs="Arial"/>
          <w:color w:val="auto"/>
        </w:rPr>
        <w:t>Bankovní spojení: 4218648369/0800 Česká spořitelna, a.s.</w:t>
      </w:r>
    </w:p>
    <w:p w14:paraId="7AB1A5D3" w14:textId="77777777" w:rsidR="0049298D" w:rsidRPr="001E5231" w:rsidRDefault="0049298D" w:rsidP="0049298D">
      <w:pPr>
        <w:pStyle w:val="Default"/>
        <w:spacing w:line="276" w:lineRule="auto"/>
        <w:jc w:val="both"/>
        <w:rPr>
          <w:rFonts w:ascii="Arial" w:hAnsi="Arial" w:cs="Arial"/>
          <w:color w:val="auto"/>
        </w:rPr>
      </w:pPr>
      <w:r w:rsidRPr="001E5231">
        <w:rPr>
          <w:rFonts w:ascii="Arial" w:hAnsi="Arial" w:cs="Arial"/>
          <w:color w:val="auto"/>
        </w:rPr>
        <w:t>(dále jen „příjemce“)</w:t>
      </w:r>
    </w:p>
    <w:p w14:paraId="0C338285" w14:textId="77777777" w:rsidR="0049298D" w:rsidRPr="001E5231" w:rsidRDefault="0049298D" w:rsidP="0049298D">
      <w:pPr>
        <w:pStyle w:val="Default"/>
        <w:spacing w:line="276" w:lineRule="auto"/>
        <w:jc w:val="both"/>
        <w:rPr>
          <w:rFonts w:ascii="Arial" w:hAnsi="Arial" w:cs="Arial"/>
          <w:color w:val="auto"/>
        </w:rPr>
      </w:pPr>
    </w:p>
    <w:p w14:paraId="2F22ED54" w14:textId="77777777" w:rsidR="0049298D" w:rsidRPr="001E5231" w:rsidRDefault="0049298D" w:rsidP="0049298D">
      <w:pPr>
        <w:pStyle w:val="Default"/>
        <w:spacing w:line="276" w:lineRule="auto"/>
        <w:jc w:val="both"/>
        <w:rPr>
          <w:rFonts w:ascii="Arial" w:hAnsi="Arial" w:cs="Arial"/>
          <w:color w:val="auto"/>
        </w:rPr>
      </w:pPr>
    </w:p>
    <w:p w14:paraId="69F76E27" w14:textId="77777777" w:rsidR="0049298D" w:rsidRPr="001E5231" w:rsidRDefault="0049298D" w:rsidP="0049298D">
      <w:pPr>
        <w:pStyle w:val="Default"/>
        <w:jc w:val="center"/>
        <w:rPr>
          <w:rFonts w:ascii="Arial" w:hAnsi="Arial" w:cs="Arial"/>
          <w:b/>
          <w:bCs/>
          <w:color w:val="auto"/>
        </w:rPr>
      </w:pPr>
      <w:r w:rsidRPr="001E5231">
        <w:rPr>
          <w:rFonts w:ascii="Arial" w:hAnsi="Arial" w:cs="Arial"/>
          <w:b/>
          <w:bCs/>
          <w:color w:val="auto"/>
        </w:rPr>
        <w:t xml:space="preserve">uzavírají níže uvedeného dne, měsíce a roku </w:t>
      </w:r>
    </w:p>
    <w:p w14:paraId="5449C8AD" w14:textId="77777777" w:rsidR="0049298D" w:rsidRPr="001E5231" w:rsidRDefault="0049298D" w:rsidP="0049298D">
      <w:pPr>
        <w:pStyle w:val="Default"/>
        <w:jc w:val="center"/>
        <w:rPr>
          <w:rFonts w:ascii="Arial" w:hAnsi="Arial" w:cs="Arial"/>
          <w:b/>
          <w:bCs/>
          <w:color w:val="auto"/>
        </w:rPr>
      </w:pPr>
      <w:r w:rsidRPr="001E5231">
        <w:rPr>
          <w:rFonts w:ascii="Arial" w:hAnsi="Arial" w:cs="Arial"/>
          <w:b/>
          <w:bCs/>
          <w:color w:val="auto"/>
        </w:rPr>
        <w:t>tuto smlouvu o poskytnutí dotace:</w:t>
      </w:r>
    </w:p>
    <w:p w14:paraId="2DA46E04" w14:textId="77777777" w:rsidR="0049298D" w:rsidRPr="001E5231" w:rsidRDefault="0049298D" w:rsidP="0049298D">
      <w:pPr>
        <w:pStyle w:val="Default"/>
        <w:jc w:val="center"/>
        <w:rPr>
          <w:rFonts w:ascii="Arial" w:hAnsi="Arial" w:cs="Arial"/>
          <w:color w:val="auto"/>
        </w:rPr>
      </w:pPr>
    </w:p>
    <w:p w14:paraId="181D48C7" w14:textId="77777777" w:rsidR="0049298D" w:rsidRPr="001E5231" w:rsidRDefault="0049298D" w:rsidP="0049298D">
      <w:pPr>
        <w:pStyle w:val="Default"/>
        <w:jc w:val="center"/>
        <w:rPr>
          <w:rFonts w:ascii="Arial" w:hAnsi="Arial" w:cs="Arial"/>
          <w:b/>
          <w:bCs/>
          <w:color w:val="auto"/>
        </w:rPr>
      </w:pPr>
      <w:r w:rsidRPr="001E5231">
        <w:rPr>
          <w:rFonts w:ascii="Arial" w:hAnsi="Arial" w:cs="Arial"/>
          <w:b/>
          <w:bCs/>
          <w:color w:val="auto"/>
        </w:rPr>
        <w:t>I.</w:t>
      </w:r>
    </w:p>
    <w:p w14:paraId="367DAC0C" w14:textId="77777777" w:rsidR="0049298D" w:rsidRPr="001E5231" w:rsidRDefault="0049298D" w:rsidP="0049298D">
      <w:pPr>
        <w:pStyle w:val="Default"/>
        <w:jc w:val="center"/>
        <w:rPr>
          <w:rFonts w:ascii="Arial" w:hAnsi="Arial" w:cs="Arial"/>
          <w:color w:val="auto"/>
        </w:rPr>
      </w:pPr>
    </w:p>
    <w:p w14:paraId="0E3E1337" w14:textId="77777777" w:rsidR="0049298D" w:rsidRPr="001E5231" w:rsidRDefault="0049298D" w:rsidP="0049298D">
      <w:pPr>
        <w:spacing w:after="120"/>
        <w:ind w:left="284" w:hanging="284"/>
        <w:rPr>
          <w:rFonts w:ascii="Arial" w:hAnsi="Arial" w:cs="Arial"/>
        </w:rPr>
      </w:pPr>
      <w:r w:rsidRPr="001E5231">
        <w:rPr>
          <w:rFonts w:ascii="Arial" w:hAnsi="Arial" w:cs="Arial"/>
        </w:rPr>
        <w:t>1.</w:t>
      </w:r>
      <w:r w:rsidRPr="001E5231">
        <w:rPr>
          <w:rFonts w:ascii="Arial" w:hAnsi="Arial" w:cs="Arial"/>
        </w:rPr>
        <w:tab/>
        <w:t xml:space="preserve">Poskytovatel se na základě této smlouvy zavazuje poskytnout příjemci dotaci ve výši 32 000 Kč, slovy: </w:t>
      </w:r>
      <w:proofErr w:type="spellStart"/>
      <w:r w:rsidRPr="001E5231">
        <w:rPr>
          <w:rFonts w:ascii="Arial" w:hAnsi="Arial" w:cs="Arial"/>
        </w:rPr>
        <w:t>třicetdvatisíce</w:t>
      </w:r>
      <w:proofErr w:type="spellEnd"/>
      <w:r w:rsidRPr="001E5231">
        <w:rPr>
          <w:rFonts w:ascii="Arial" w:hAnsi="Arial" w:cs="Arial"/>
        </w:rPr>
        <w:t xml:space="preserve"> korun českých (dále jen „dotace“) jako individuální dotaci z rozpočtu Olomouckého kraje 2022 v oblasti památkové péče.</w:t>
      </w:r>
    </w:p>
    <w:p w14:paraId="7E73EA10" w14:textId="77777777" w:rsidR="0049298D" w:rsidRPr="001E5231" w:rsidRDefault="0049298D" w:rsidP="0049298D">
      <w:pPr>
        <w:pStyle w:val="Default"/>
        <w:spacing w:before="120" w:after="120"/>
        <w:ind w:left="284" w:hanging="284"/>
        <w:jc w:val="both"/>
        <w:rPr>
          <w:rFonts w:ascii="Arial" w:hAnsi="Arial" w:cs="Arial"/>
          <w:color w:val="auto"/>
        </w:rPr>
      </w:pPr>
      <w:r w:rsidRPr="001E5231">
        <w:rPr>
          <w:rFonts w:ascii="Arial" w:hAnsi="Arial" w:cs="Arial"/>
          <w:color w:val="auto"/>
        </w:rPr>
        <w:t>2.</w:t>
      </w:r>
      <w:r w:rsidRPr="001E5231">
        <w:rPr>
          <w:rFonts w:ascii="Arial" w:hAnsi="Arial" w:cs="Arial"/>
          <w:color w:val="auto"/>
        </w:rPr>
        <w:tab/>
        <w:t xml:space="preserve">Účelem poskytnutí dotace je úhrada/částečná úhrada výdajů na </w:t>
      </w:r>
      <w:r>
        <w:rPr>
          <w:rFonts w:ascii="Arial" w:hAnsi="Arial" w:cs="Arial"/>
          <w:color w:val="auto"/>
        </w:rPr>
        <w:t xml:space="preserve">kostel povýšení sv. Kříže Město Libavá, zajištění havarijního stavu věže </w:t>
      </w:r>
      <w:r w:rsidRPr="001E5231">
        <w:rPr>
          <w:rFonts w:ascii="Arial" w:hAnsi="Arial" w:cs="Arial"/>
          <w:color w:val="auto"/>
        </w:rPr>
        <w:t xml:space="preserve">(dále také „akce“). </w:t>
      </w:r>
    </w:p>
    <w:p w14:paraId="3FE753C9" w14:textId="77777777" w:rsidR="0049298D" w:rsidRPr="001E5231" w:rsidRDefault="0049298D" w:rsidP="0049298D">
      <w:pPr>
        <w:pStyle w:val="Default"/>
        <w:ind w:left="284" w:hanging="284"/>
        <w:jc w:val="both"/>
        <w:rPr>
          <w:rFonts w:ascii="Arial" w:hAnsi="Arial" w:cs="Arial"/>
          <w:color w:val="auto"/>
        </w:rPr>
      </w:pPr>
      <w:r w:rsidRPr="001E5231">
        <w:rPr>
          <w:rFonts w:ascii="Arial" w:hAnsi="Arial" w:cs="Arial"/>
          <w:color w:val="auto"/>
        </w:rPr>
        <w:t>3.</w:t>
      </w:r>
      <w:r w:rsidRPr="001E5231">
        <w:rPr>
          <w:rFonts w:ascii="Arial" w:hAnsi="Arial" w:cs="Arial"/>
          <w:color w:val="auto"/>
        </w:rPr>
        <w:tab/>
        <w:t>Dotace bude poskytnuta převodem na bankovní účet příjemce uvedený v záhlaví této smlouvy do 21 dnů ode dne nabytí účinnosti této smlouvy</w:t>
      </w:r>
      <w:r w:rsidRPr="001E5231">
        <w:rPr>
          <w:rFonts w:ascii="Arial" w:hAnsi="Arial" w:cs="Arial"/>
          <w:i/>
          <w:iCs/>
          <w:color w:val="auto"/>
        </w:rPr>
        <w:t xml:space="preserve">. </w:t>
      </w:r>
      <w:r w:rsidRPr="001E5231">
        <w:rPr>
          <w:rFonts w:ascii="Arial" w:hAnsi="Arial" w:cs="Arial"/>
          <w:color w:val="auto"/>
        </w:rPr>
        <w:t xml:space="preserve">Za den poskytnutí dotace se pro účely této smlouvy považuje den odepsání finančních prostředků z účtu poskytovatele ve prospěch účtu příjemce. </w:t>
      </w:r>
    </w:p>
    <w:p w14:paraId="2886161F" w14:textId="77777777" w:rsidR="0049298D" w:rsidRPr="001E5231" w:rsidRDefault="0049298D" w:rsidP="0049298D">
      <w:pPr>
        <w:pStyle w:val="Default"/>
        <w:ind w:left="284" w:hanging="284"/>
        <w:jc w:val="both"/>
        <w:rPr>
          <w:rFonts w:ascii="Arial" w:hAnsi="Arial" w:cs="Arial"/>
          <w:color w:val="auto"/>
        </w:rPr>
      </w:pPr>
      <w:r w:rsidRPr="001E5231">
        <w:rPr>
          <w:rFonts w:ascii="Arial" w:hAnsi="Arial" w:cs="Arial"/>
          <w:color w:val="auto"/>
        </w:rPr>
        <w:t>4.</w:t>
      </w:r>
      <w:r w:rsidRPr="001E5231">
        <w:rPr>
          <w:rFonts w:ascii="Arial" w:hAnsi="Arial" w:cs="Arial"/>
          <w:color w:val="auto"/>
        </w:rPr>
        <w:tab/>
        <w:t>Dotace se poskytuje na účel stanovený v čl. I odst. 2 této smlouvy jako dotace neinvestiční</w:t>
      </w:r>
      <w:r w:rsidRPr="001E5231">
        <w:rPr>
          <w:rFonts w:ascii="Arial" w:hAnsi="Arial" w:cs="Arial"/>
          <w:i/>
          <w:iCs/>
          <w:color w:val="auto"/>
        </w:rPr>
        <w:t>.</w:t>
      </w:r>
    </w:p>
    <w:p w14:paraId="3B0B5D68" w14:textId="77777777" w:rsidR="0049298D" w:rsidRPr="001E5231" w:rsidRDefault="0049298D" w:rsidP="0049298D">
      <w:pPr>
        <w:pStyle w:val="Default"/>
        <w:jc w:val="both"/>
        <w:rPr>
          <w:rFonts w:ascii="Arial" w:hAnsi="Arial" w:cs="Arial"/>
          <w:color w:val="auto"/>
        </w:rPr>
      </w:pPr>
    </w:p>
    <w:p w14:paraId="3E0B36D3" w14:textId="77777777" w:rsidR="0049298D" w:rsidRPr="001E5231" w:rsidRDefault="0049298D" w:rsidP="0049298D">
      <w:pPr>
        <w:pStyle w:val="Default"/>
        <w:ind w:left="284" w:firstLine="142"/>
        <w:jc w:val="both"/>
        <w:rPr>
          <w:rFonts w:ascii="Arial" w:hAnsi="Arial" w:cs="Arial"/>
          <w:color w:val="auto"/>
        </w:rPr>
      </w:pPr>
    </w:p>
    <w:p w14:paraId="4F430089" w14:textId="77777777" w:rsidR="0049298D" w:rsidRPr="001E5231" w:rsidRDefault="0049298D" w:rsidP="0049298D">
      <w:pPr>
        <w:pStyle w:val="Default"/>
        <w:spacing w:before="120" w:after="120"/>
        <w:ind w:left="284"/>
        <w:jc w:val="both"/>
        <w:rPr>
          <w:rFonts w:ascii="Arial" w:hAnsi="Arial" w:cs="Arial"/>
          <w:color w:val="auto"/>
        </w:rPr>
      </w:pPr>
      <w:r w:rsidRPr="001E5231">
        <w:rPr>
          <w:rFonts w:ascii="Arial" w:hAnsi="Arial" w:cs="Arial"/>
          <w:color w:val="auto"/>
        </w:rPr>
        <w:t>Pro účely této smlouvy se neinvestiční dotací rozumí dotace, která musí být použita na úhradu jiných výdajů než:</w:t>
      </w:r>
    </w:p>
    <w:p w14:paraId="58787756" w14:textId="77777777" w:rsidR="0049298D" w:rsidRPr="001E5231" w:rsidRDefault="0049298D" w:rsidP="0049298D">
      <w:pPr>
        <w:pStyle w:val="Default"/>
        <w:spacing w:before="120" w:after="120"/>
        <w:ind w:left="703" w:hanging="703"/>
        <w:jc w:val="both"/>
        <w:rPr>
          <w:rFonts w:ascii="Arial" w:hAnsi="Arial" w:cs="Arial"/>
          <w:color w:val="auto"/>
        </w:rPr>
      </w:pPr>
      <w:r w:rsidRPr="001E5231">
        <w:rPr>
          <w:rFonts w:ascii="Arial" w:hAnsi="Arial" w:cs="Arial"/>
          <w:color w:val="auto"/>
        </w:rPr>
        <w:t xml:space="preserve">a) </w:t>
      </w:r>
      <w:r w:rsidRPr="001E5231">
        <w:rPr>
          <w:rFonts w:ascii="Arial" w:hAnsi="Arial" w:cs="Arial"/>
          <w:color w:val="auto"/>
        </w:rPr>
        <w:tab/>
        <w:t xml:space="preserve">výdajů spojených s pořízením hmotného majetku dle § 26 odst. 2 zákona č. 586/1992 Sb., o daních z příjmů, ve znění pozdějších předpisů (dále jen „cit. </w:t>
      </w:r>
      <w:proofErr w:type="gramStart"/>
      <w:r w:rsidRPr="001E5231">
        <w:rPr>
          <w:rFonts w:ascii="Arial" w:hAnsi="Arial" w:cs="Arial"/>
          <w:color w:val="auto"/>
        </w:rPr>
        <w:t>zákona</w:t>
      </w:r>
      <w:proofErr w:type="gramEnd"/>
      <w:r w:rsidRPr="001E5231">
        <w:rPr>
          <w:rFonts w:ascii="Arial" w:hAnsi="Arial" w:cs="Arial"/>
          <w:color w:val="auto"/>
        </w:rPr>
        <w:t>“),</w:t>
      </w:r>
    </w:p>
    <w:p w14:paraId="208709D7" w14:textId="77777777" w:rsidR="0049298D" w:rsidRPr="001E5231" w:rsidRDefault="0049298D" w:rsidP="0049298D">
      <w:pPr>
        <w:pStyle w:val="Default"/>
        <w:spacing w:before="120" w:after="120"/>
        <w:jc w:val="both"/>
        <w:rPr>
          <w:rFonts w:ascii="Arial" w:hAnsi="Arial" w:cs="Arial"/>
          <w:color w:val="auto"/>
        </w:rPr>
      </w:pPr>
      <w:r w:rsidRPr="001E5231">
        <w:rPr>
          <w:rFonts w:ascii="Arial" w:hAnsi="Arial" w:cs="Arial"/>
          <w:color w:val="auto"/>
        </w:rPr>
        <w:t xml:space="preserve">b) </w:t>
      </w:r>
      <w:r w:rsidRPr="001E5231">
        <w:rPr>
          <w:rFonts w:ascii="Arial" w:hAnsi="Arial" w:cs="Arial"/>
          <w:color w:val="auto"/>
        </w:rPr>
        <w:tab/>
        <w:t>výdajů spojených s pořízením nehmotného majetku,</w:t>
      </w:r>
    </w:p>
    <w:p w14:paraId="779150A6" w14:textId="77777777" w:rsidR="0049298D" w:rsidRPr="001E5231" w:rsidRDefault="0049298D" w:rsidP="0049298D">
      <w:pPr>
        <w:pStyle w:val="Default"/>
        <w:ind w:left="705" w:hanging="705"/>
        <w:jc w:val="both"/>
        <w:rPr>
          <w:rFonts w:ascii="Arial" w:hAnsi="Arial" w:cs="Arial"/>
          <w:color w:val="auto"/>
        </w:rPr>
      </w:pPr>
      <w:r w:rsidRPr="001E5231">
        <w:rPr>
          <w:rFonts w:ascii="Arial" w:hAnsi="Arial" w:cs="Arial"/>
          <w:color w:val="auto"/>
        </w:rPr>
        <w:t xml:space="preserve">c) </w:t>
      </w:r>
      <w:r w:rsidRPr="001E5231">
        <w:rPr>
          <w:rFonts w:ascii="Arial" w:hAnsi="Arial" w:cs="Arial"/>
          <w:color w:val="auto"/>
        </w:rPr>
        <w:tab/>
        <w:t xml:space="preserve">výdajů spojených s technickým zhodnocením, rekonstrukcí a modernizací ve smyslu § 33 cit. </w:t>
      </w:r>
      <w:proofErr w:type="gramStart"/>
      <w:r w:rsidRPr="001E5231">
        <w:rPr>
          <w:rFonts w:ascii="Arial" w:hAnsi="Arial" w:cs="Arial"/>
          <w:color w:val="auto"/>
        </w:rPr>
        <w:t>zákona</w:t>
      </w:r>
      <w:proofErr w:type="gramEnd"/>
      <w:r w:rsidRPr="001E5231">
        <w:rPr>
          <w:rFonts w:ascii="Arial" w:hAnsi="Arial" w:cs="Arial"/>
          <w:color w:val="auto"/>
        </w:rPr>
        <w:t>.</w:t>
      </w:r>
    </w:p>
    <w:p w14:paraId="1CCFDE74" w14:textId="77777777" w:rsidR="0049298D" w:rsidRPr="001E5231" w:rsidRDefault="0049298D" w:rsidP="0049298D">
      <w:pPr>
        <w:pStyle w:val="Default"/>
        <w:jc w:val="both"/>
        <w:rPr>
          <w:rFonts w:ascii="Arial" w:hAnsi="Arial" w:cs="Arial"/>
          <w:color w:val="auto"/>
        </w:rPr>
      </w:pPr>
    </w:p>
    <w:p w14:paraId="6D95BC37" w14:textId="77777777" w:rsidR="0049298D" w:rsidRPr="001E5231" w:rsidRDefault="0049298D" w:rsidP="0049298D">
      <w:pPr>
        <w:pStyle w:val="Default"/>
        <w:jc w:val="both"/>
        <w:rPr>
          <w:rFonts w:ascii="Arial" w:hAnsi="Arial" w:cs="Arial"/>
          <w:color w:val="auto"/>
        </w:rPr>
      </w:pPr>
    </w:p>
    <w:p w14:paraId="24626D0A" w14:textId="77777777" w:rsidR="0049298D" w:rsidRPr="001E5231" w:rsidRDefault="0049298D" w:rsidP="0049298D">
      <w:pPr>
        <w:pStyle w:val="Default"/>
        <w:jc w:val="center"/>
        <w:rPr>
          <w:rFonts w:ascii="Arial" w:hAnsi="Arial" w:cs="Arial"/>
          <w:b/>
          <w:bCs/>
          <w:color w:val="auto"/>
        </w:rPr>
      </w:pPr>
      <w:r w:rsidRPr="001E5231">
        <w:rPr>
          <w:rFonts w:ascii="Arial" w:hAnsi="Arial" w:cs="Arial"/>
          <w:b/>
          <w:bCs/>
          <w:color w:val="auto"/>
        </w:rPr>
        <w:t>II.</w:t>
      </w:r>
    </w:p>
    <w:p w14:paraId="6EFDD133" w14:textId="77777777" w:rsidR="0049298D" w:rsidRPr="001E5231" w:rsidRDefault="0049298D" w:rsidP="0049298D">
      <w:pPr>
        <w:pStyle w:val="Default"/>
        <w:jc w:val="center"/>
        <w:rPr>
          <w:rFonts w:ascii="Arial" w:hAnsi="Arial" w:cs="Arial"/>
          <w:color w:val="auto"/>
        </w:rPr>
      </w:pPr>
    </w:p>
    <w:p w14:paraId="1A4F970D" w14:textId="77777777" w:rsidR="0049298D" w:rsidRPr="001E5231" w:rsidRDefault="0049298D" w:rsidP="0049298D">
      <w:pPr>
        <w:pStyle w:val="Default"/>
        <w:jc w:val="center"/>
        <w:rPr>
          <w:rFonts w:ascii="Arial" w:hAnsi="Arial" w:cs="Arial"/>
          <w:color w:val="auto"/>
        </w:rPr>
      </w:pPr>
    </w:p>
    <w:p w14:paraId="7A629B92" w14:textId="77777777" w:rsidR="0049298D" w:rsidRPr="001E5231" w:rsidRDefault="0049298D" w:rsidP="0049298D">
      <w:pPr>
        <w:pStyle w:val="Default"/>
        <w:numPr>
          <w:ilvl w:val="0"/>
          <w:numId w:val="8"/>
        </w:numPr>
        <w:ind w:left="426" w:hanging="284"/>
        <w:jc w:val="both"/>
        <w:rPr>
          <w:rFonts w:ascii="Arial" w:hAnsi="Arial" w:cs="Arial"/>
          <w:color w:val="auto"/>
        </w:rPr>
      </w:pPr>
      <w:r w:rsidRPr="001E5231">
        <w:rPr>
          <w:rFonts w:ascii="Arial" w:hAnsi="Arial" w:cs="Arial"/>
          <w:color w:val="auto"/>
        </w:rPr>
        <w:t>Příjemce dotaci přijímá a zavazuje se ji použít výlučně v souladu s účelem poskytnutí dotace dle čl. I odst. 2 a 4 této smlouvy, v souladu s podmínkami stanovenými v této smlouvě, s usnesením Zastupitelstva Olomouckého kraje č. UZ/</w:t>
      </w:r>
      <w:r>
        <w:rPr>
          <w:rFonts w:ascii="Arial" w:hAnsi="Arial" w:cs="Arial"/>
          <w:color w:val="auto"/>
        </w:rPr>
        <w:t>11/44/2022 ze dne 26. 9. 2022</w:t>
      </w:r>
      <w:r w:rsidRPr="001E5231">
        <w:rPr>
          <w:rFonts w:ascii="Arial" w:hAnsi="Arial" w:cs="Arial"/>
          <w:color w:val="auto"/>
        </w:rPr>
        <w:t xml:space="preserve"> a v souladu se Zásadami pro poskytování finanční podpory z rozpočtu Olomouckého kraje (dále jen „Zásady“). </w:t>
      </w:r>
    </w:p>
    <w:p w14:paraId="33F725AD" w14:textId="77777777" w:rsidR="0049298D" w:rsidRPr="001E5231" w:rsidRDefault="0049298D" w:rsidP="0049298D">
      <w:pPr>
        <w:pStyle w:val="Default"/>
        <w:spacing w:before="120" w:after="120"/>
        <w:ind w:left="426"/>
        <w:jc w:val="both"/>
        <w:rPr>
          <w:rFonts w:ascii="Arial" w:hAnsi="Arial" w:cs="Arial"/>
          <w:color w:val="auto"/>
        </w:rPr>
      </w:pPr>
      <w:r w:rsidRPr="001E5231">
        <w:rPr>
          <w:rFonts w:ascii="Arial" w:hAnsi="Arial" w:cs="Arial"/>
          <w:color w:val="auto"/>
        </w:rPr>
        <w:t>Příjemce je povinen řídit se Zásadami. V případě odchylného znění Zásad a této smlouvy mají přednost ustanovení této smlouvy.</w:t>
      </w:r>
    </w:p>
    <w:p w14:paraId="2B6D3E95" w14:textId="77777777" w:rsidR="0049298D" w:rsidRPr="00375315" w:rsidRDefault="0049298D" w:rsidP="0049298D">
      <w:pPr>
        <w:ind w:left="426"/>
        <w:rPr>
          <w:rFonts w:ascii="Arial" w:hAnsi="Arial" w:cs="Arial"/>
        </w:rPr>
      </w:pPr>
      <w:r w:rsidRPr="00375315">
        <w:rPr>
          <w:rFonts w:ascii="Arial" w:hAnsi="Arial" w:cs="Arial"/>
        </w:rPr>
        <w:t>Příjemce je oprávněn dotaci použít pouze na oprava/výměna přístupových stupaček k okénku do věže (zajištění přístupu do vrcholu věže) – výměna přístupového okénka na vnějším plášti věže – klempířské práce ve výškách vč. materiálu (plechy, podložky, šrouby) odstranění havarijního stavu, zabezpečení krytiny a zamezení zatékání do doby, než dojde ke generální rekonstrukci krytiny a pláště věže.</w:t>
      </w:r>
    </w:p>
    <w:p w14:paraId="1906A0B7" w14:textId="77777777" w:rsidR="0049298D" w:rsidRPr="001E5231" w:rsidRDefault="0049298D" w:rsidP="0049298D">
      <w:pPr>
        <w:pStyle w:val="Default"/>
        <w:spacing w:before="120" w:after="120"/>
        <w:ind w:left="426"/>
        <w:jc w:val="both"/>
        <w:rPr>
          <w:rFonts w:ascii="Arial" w:hAnsi="Arial" w:cs="Arial"/>
          <w:color w:val="auto"/>
        </w:rPr>
      </w:pPr>
      <w:r w:rsidRPr="001E5231">
        <w:rPr>
          <w:rFonts w:ascii="Arial" w:hAnsi="Arial" w:cs="Arial"/>
          <w:color w:val="auto"/>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2E504401" w14:textId="77777777" w:rsidR="0049298D" w:rsidRPr="001E5231" w:rsidRDefault="0049298D" w:rsidP="0049298D">
      <w:pPr>
        <w:pStyle w:val="Default"/>
        <w:spacing w:before="120" w:after="120"/>
        <w:ind w:left="426"/>
        <w:jc w:val="both"/>
        <w:rPr>
          <w:rFonts w:ascii="Arial" w:hAnsi="Arial" w:cs="Arial"/>
          <w:color w:val="auto"/>
        </w:rPr>
      </w:pPr>
      <w:r w:rsidRPr="001E5231">
        <w:rPr>
          <w:rFonts w:ascii="Arial" w:hAnsi="Arial" w:cs="Arial"/>
          <w:color w:val="auto"/>
        </w:rPr>
        <w:t>Dotaci nelze rovněž použít na úhradu ostatních daní.</w:t>
      </w:r>
    </w:p>
    <w:p w14:paraId="584DA4B1" w14:textId="77777777" w:rsidR="0049298D" w:rsidRPr="001E5231" w:rsidRDefault="0049298D" w:rsidP="0049298D">
      <w:pPr>
        <w:pStyle w:val="Default"/>
        <w:spacing w:before="120" w:after="120"/>
        <w:ind w:left="426"/>
        <w:jc w:val="both"/>
        <w:rPr>
          <w:rFonts w:ascii="Arial" w:hAnsi="Arial" w:cs="Arial"/>
          <w:color w:val="auto"/>
        </w:rPr>
      </w:pPr>
      <w:r w:rsidRPr="001E5231">
        <w:rPr>
          <w:rFonts w:ascii="Arial" w:hAnsi="Arial" w:cs="Arial"/>
          <w:color w:val="auto"/>
        </w:rPr>
        <w:t>Dotace musí být použita hospodárně.</w:t>
      </w:r>
    </w:p>
    <w:p w14:paraId="35B3FB55" w14:textId="77777777" w:rsidR="0049298D" w:rsidRPr="001E5231" w:rsidRDefault="0049298D" w:rsidP="0049298D">
      <w:pPr>
        <w:pStyle w:val="Default"/>
        <w:spacing w:before="120" w:after="120"/>
        <w:ind w:left="426"/>
        <w:jc w:val="both"/>
        <w:rPr>
          <w:rFonts w:ascii="Arial" w:hAnsi="Arial" w:cs="Arial"/>
          <w:color w:val="auto"/>
        </w:rPr>
      </w:pPr>
      <w:r w:rsidRPr="001E5231">
        <w:rPr>
          <w:rFonts w:ascii="Arial" w:hAnsi="Arial" w:cs="Arial"/>
          <w:color w:val="auto"/>
        </w:rPr>
        <w:t>Příjemce je povinen vést dotaci ve svém účetnictví odděleně.</w:t>
      </w:r>
    </w:p>
    <w:p w14:paraId="54BDCE55" w14:textId="77777777" w:rsidR="0049298D" w:rsidRPr="001E5231" w:rsidRDefault="0049298D" w:rsidP="0049298D">
      <w:pPr>
        <w:pStyle w:val="Default"/>
        <w:spacing w:before="120" w:after="120"/>
        <w:ind w:left="426"/>
        <w:jc w:val="both"/>
        <w:rPr>
          <w:rFonts w:ascii="Arial" w:hAnsi="Arial" w:cs="Arial"/>
          <w:color w:val="auto"/>
        </w:rPr>
      </w:pPr>
      <w:r w:rsidRPr="001E5231">
        <w:rPr>
          <w:rFonts w:ascii="Arial" w:hAnsi="Arial" w:cs="Arial"/>
          <w:color w:val="auto"/>
        </w:rPr>
        <w:lastRenderedPageBreak/>
        <w:t>Příjemce není oprávněn převést dotaci nebo její část na jiného nositele projektu nebo jinou osobu. Toto se netýká úhrady výdajů na akci příjemcem. Změna příjemce je možná pouze v případě právního nástupnictví.</w:t>
      </w:r>
    </w:p>
    <w:p w14:paraId="10A186A5" w14:textId="5CEAA922" w:rsidR="0049298D" w:rsidRPr="00F962E9" w:rsidRDefault="0049298D" w:rsidP="0049298D">
      <w:pPr>
        <w:pStyle w:val="Default"/>
        <w:ind w:left="426" w:hanging="567"/>
        <w:jc w:val="both"/>
        <w:rPr>
          <w:rFonts w:ascii="Arial" w:hAnsi="Arial" w:cs="Arial"/>
          <w:color w:val="auto"/>
        </w:rPr>
      </w:pPr>
      <w:r w:rsidRPr="001E5231">
        <w:rPr>
          <w:rFonts w:ascii="Arial" w:hAnsi="Arial" w:cs="Arial"/>
          <w:color w:val="auto"/>
        </w:rPr>
        <w:t>2.</w:t>
      </w:r>
      <w:r w:rsidRPr="001E5231">
        <w:rPr>
          <w:rFonts w:ascii="Arial" w:hAnsi="Arial" w:cs="Arial"/>
          <w:color w:val="auto"/>
        </w:rPr>
        <w:tab/>
      </w:r>
      <w:r w:rsidRPr="00305755">
        <w:rPr>
          <w:rFonts w:ascii="Arial" w:hAnsi="Arial" w:cs="Arial"/>
          <w:color w:val="auto"/>
        </w:rPr>
        <w:t xml:space="preserve">Příjemce je povinen použít </w:t>
      </w:r>
      <w:r w:rsidRPr="00F962E9">
        <w:rPr>
          <w:rFonts w:ascii="Arial" w:hAnsi="Arial" w:cs="Arial"/>
          <w:color w:val="auto"/>
        </w:rPr>
        <w:t xml:space="preserve">poskytnutou dotaci nejpozději do </w:t>
      </w:r>
      <w:r w:rsidR="007F18C3" w:rsidRPr="00F962E9">
        <w:rPr>
          <w:rFonts w:ascii="Arial" w:hAnsi="Arial" w:cs="Arial"/>
          <w:color w:val="auto"/>
        </w:rPr>
        <w:t>31</w:t>
      </w:r>
      <w:r w:rsidR="009B45B1" w:rsidRPr="00F962E9">
        <w:rPr>
          <w:rFonts w:ascii="Arial" w:hAnsi="Arial" w:cs="Arial"/>
          <w:color w:val="auto"/>
        </w:rPr>
        <w:t>. 1</w:t>
      </w:r>
      <w:r w:rsidR="00305755" w:rsidRPr="00F962E9">
        <w:rPr>
          <w:rFonts w:ascii="Arial" w:hAnsi="Arial" w:cs="Arial"/>
          <w:color w:val="auto"/>
        </w:rPr>
        <w:t>2</w:t>
      </w:r>
      <w:r w:rsidRPr="00F962E9">
        <w:rPr>
          <w:rFonts w:ascii="Arial" w:hAnsi="Arial" w:cs="Arial"/>
          <w:color w:val="auto"/>
        </w:rPr>
        <w:t>. 2022.</w:t>
      </w:r>
    </w:p>
    <w:p w14:paraId="1FB733C5" w14:textId="77777777" w:rsidR="0049298D" w:rsidRPr="001E5231" w:rsidRDefault="0049298D" w:rsidP="0049298D">
      <w:pPr>
        <w:pStyle w:val="Default"/>
        <w:spacing w:before="120" w:after="120"/>
        <w:ind w:left="426"/>
        <w:jc w:val="both"/>
        <w:rPr>
          <w:rFonts w:ascii="Arial" w:hAnsi="Arial" w:cs="Arial"/>
          <w:color w:val="auto"/>
        </w:rPr>
      </w:pPr>
      <w:r w:rsidRPr="001E5231">
        <w:rPr>
          <w:rFonts w:ascii="Arial" w:hAnsi="Arial" w:cs="Arial"/>
          <w:color w:val="auto"/>
        </w:rPr>
        <w:t xml:space="preserve">Příjemce je oprávněn použít dotaci </w:t>
      </w:r>
      <w:r w:rsidRPr="00305755">
        <w:rPr>
          <w:rFonts w:ascii="Arial" w:hAnsi="Arial" w:cs="Arial"/>
          <w:color w:val="auto"/>
        </w:rPr>
        <w:t>také</w:t>
      </w:r>
      <w:r w:rsidRPr="001E5231">
        <w:rPr>
          <w:rFonts w:ascii="Arial" w:hAnsi="Arial" w:cs="Arial"/>
          <w:color w:val="auto"/>
        </w:rPr>
        <w:t xml:space="preserve"> na úhradu výdajů vynaložených příjemcem v souladu s účelem poskytnutí dotace dle čl. I odst. 2 a 4 této smlouvy a podmínkami použití dotace dle čl. II odst. 1 této smlouvy v období od 1. 3. 2022 do nabytí účinnosti této smlouvy.</w:t>
      </w:r>
    </w:p>
    <w:p w14:paraId="5249DF83" w14:textId="77777777" w:rsidR="0049298D" w:rsidRPr="001E5231" w:rsidRDefault="0049298D" w:rsidP="0049298D">
      <w:pPr>
        <w:pStyle w:val="Default"/>
        <w:spacing w:before="120" w:after="120"/>
        <w:ind w:left="567" w:hanging="567"/>
        <w:jc w:val="both"/>
        <w:rPr>
          <w:rFonts w:ascii="Arial" w:hAnsi="Arial" w:cs="Arial"/>
          <w:color w:val="auto"/>
        </w:rPr>
      </w:pPr>
      <w:r w:rsidRPr="001E5231">
        <w:rPr>
          <w:rFonts w:ascii="Arial" w:hAnsi="Arial" w:cs="Arial"/>
          <w:color w:val="auto"/>
        </w:rPr>
        <w:t>3.</w:t>
      </w:r>
      <w:r w:rsidRPr="001E5231">
        <w:rPr>
          <w:rFonts w:ascii="Arial" w:hAnsi="Arial" w:cs="Arial"/>
          <w:color w:val="auto"/>
        </w:rPr>
        <w:tab/>
        <w:t>Příjemce je povinen umožnit poskytovateli provedení kontroly dodržení účelu a podmínek použití poskytnuté dotace. Při této kontrole je příjemce povinen vyvíjet veškerou poskytovatelem požadovanou součinnost.</w:t>
      </w:r>
    </w:p>
    <w:p w14:paraId="77108159" w14:textId="28485EBF" w:rsidR="0049298D" w:rsidRPr="001E5231" w:rsidRDefault="0049298D" w:rsidP="0049298D">
      <w:pPr>
        <w:pStyle w:val="Default"/>
        <w:tabs>
          <w:tab w:val="left" w:pos="567"/>
        </w:tabs>
        <w:ind w:left="567" w:hanging="567"/>
        <w:jc w:val="both"/>
        <w:rPr>
          <w:rFonts w:ascii="Arial" w:hAnsi="Arial" w:cs="Arial"/>
          <w:color w:val="auto"/>
        </w:rPr>
      </w:pPr>
      <w:r w:rsidRPr="001E5231">
        <w:rPr>
          <w:rFonts w:ascii="Arial" w:hAnsi="Arial" w:cs="Arial"/>
          <w:color w:val="auto"/>
        </w:rPr>
        <w:t>4.</w:t>
      </w:r>
      <w:r w:rsidRPr="001E5231">
        <w:rPr>
          <w:rFonts w:ascii="Arial" w:hAnsi="Arial" w:cs="Arial"/>
          <w:color w:val="auto"/>
        </w:rPr>
        <w:tab/>
        <w:t xml:space="preserve">Příjemce je </w:t>
      </w:r>
      <w:r w:rsidRPr="00F962E9">
        <w:rPr>
          <w:rFonts w:ascii="Arial" w:hAnsi="Arial" w:cs="Arial"/>
          <w:color w:val="auto"/>
        </w:rPr>
        <w:t xml:space="preserve">povinen nejpozději do </w:t>
      </w:r>
      <w:r w:rsidR="009B45B1" w:rsidRPr="00F962E9">
        <w:rPr>
          <w:rFonts w:ascii="Arial" w:hAnsi="Arial" w:cs="Arial"/>
          <w:color w:val="auto"/>
        </w:rPr>
        <w:t>31</w:t>
      </w:r>
      <w:r w:rsidR="00F962E9" w:rsidRPr="00F962E9">
        <w:rPr>
          <w:rFonts w:ascii="Arial" w:hAnsi="Arial" w:cs="Arial"/>
          <w:color w:val="auto"/>
        </w:rPr>
        <w:t>. 1. 2023</w:t>
      </w:r>
      <w:r w:rsidRPr="00F962E9">
        <w:rPr>
          <w:rFonts w:ascii="Arial" w:hAnsi="Arial" w:cs="Arial"/>
          <w:color w:val="auto"/>
        </w:rPr>
        <w:t xml:space="preserve"> předložit poskytovateli </w:t>
      </w:r>
      <w:r w:rsidRPr="001E5231">
        <w:rPr>
          <w:rFonts w:ascii="Arial" w:hAnsi="Arial" w:cs="Arial"/>
          <w:color w:val="auto"/>
        </w:rPr>
        <w:t>vyúčtování poskytnuté dotace, vyplněné prostřednictvím systému, v němž příjemce podal žádost o poskytnutí této dotace, a to buď elektronicky zasláním do datové schránky poskytovatele (dále jen „vyúčtování“). Připadne-li konec lhůty pro předložení vyúčtování na sobotu, neděli nebo svátek, je posledním dnem lhůty nejbližší následující pracovní den.</w:t>
      </w:r>
    </w:p>
    <w:p w14:paraId="4F3F2E97" w14:textId="77777777" w:rsidR="0049298D" w:rsidRPr="001E5231" w:rsidRDefault="0049298D" w:rsidP="0049298D">
      <w:pPr>
        <w:pStyle w:val="Default"/>
        <w:ind w:left="567"/>
        <w:jc w:val="both"/>
        <w:rPr>
          <w:rFonts w:ascii="Arial" w:hAnsi="Arial" w:cs="Arial"/>
          <w:color w:val="auto"/>
        </w:rPr>
      </w:pPr>
    </w:p>
    <w:p w14:paraId="45EB290D" w14:textId="77777777" w:rsidR="0049298D" w:rsidRPr="001E5231" w:rsidRDefault="0049298D" w:rsidP="0049298D">
      <w:pPr>
        <w:pStyle w:val="Default"/>
        <w:ind w:left="567"/>
        <w:jc w:val="both"/>
        <w:rPr>
          <w:rFonts w:ascii="Arial" w:hAnsi="Arial" w:cs="Arial"/>
          <w:color w:val="auto"/>
        </w:rPr>
      </w:pPr>
      <w:r w:rsidRPr="001E5231">
        <w:rPr>
          <w:rFonts w:ascii="Arial" w:hAnsi="Arial" w:cs="Arial"/>
          <w:color w:val="auto"/>
        </w:rPr>
        <w:t>Vyúčtování musí obsahovat:</w:t>
      </w:r>
    </w:p>
    <w:p w14:paraId="6992BB86" w14:textId="77777777" w:rsidR="0049298D" w:rsidRPr="001E5231" w:rsidRDefault="0049298D" w:rsidP="0049298D">
      <w:pPr>
        <w:pStyle w:val="Default"/>
        <w:jc w:val="both"/>
        <w:rPr>
          <w:rFonts w:ascii="Arial" w:hAnsi="Arial" w:cs="Arial"/>
          <w:color w:val="auto"/>
        </w:rPr>
      </w:pPr>
    </w:p>
    <w:p w14:paraId="3D3101C9" w14:textId="77777777" w:rsidR="0049298D" w:rsidRPr="001E5231" w:rsidRDefault="0049298D" w:rsidP="0049298D">
      <w:pPr>
        <w:pStyle w:val="Default"/>
        <w:tabs>
          <w:tab w:val="left" w:pos="709"/>
        </w:tabs>
        <w:spacing w:before="120" w:after="120"/>
        <w:ind w:left="1134" w:hanging="567"/>
        <w:jc w:val="both"/>
        <w:rPr>
          <w:rFonts w:ascii="Arial" w:hAnsi="Arial" w:cs="Arial"/>
          <w:color w:val="auto"/>
        </w:rPr>
      </w:pPr>
      <w:r w:rsidRPr="001E5231">
        <w:rPr>
          <w:rFonts w:ascii="Arial" w:hAnsi="Arial" w:cs="Arial"/>
          <w:color w:val="auto"/>
        </w:rPr>
        <w:t xml:space="preserve">4.1. Soupis výdajů hrazených z poskytnuté dotace na akci, na jejíž realizaci byla poskytnuta dotace dle této smlouvy, a to v rozsahu uvedeném ve vzoru vyúčtování dotace, </w:t>
      </w:r>
      <w:r w:rsidRPr="001E5231">
        <w:rPr>
          <w:rFonts w:ascii="Arial" w:hAnsi="Arial" w:cs="Arial"/>
          <w:iCs/>
          <w:color w:val="auto"/>
        </w:rPr>
        <w:t>který je zveřejněn v systému RAP</w:t>
      </w:r>
      <w:r w:rsidRPr="001E5231">
        <w:rPr>
          <w:rFonts w:ascii="Arial" w:hAnsi="Arial" w:cs="Arial"/>
          <w:color w:val="auto"/>
        </w:rPr>
        <w:t>.</w:t>
      </w:r>
    </w:p>
    <w:p w14:paraId="1C1E4A66" w14:textId="77777777" w:rsidR="0049298D" w:rsidRPr="001E5231" w:rsidRDefault="0049298D" w:rsidP="0049298D">
      <w:pPr>
        <w:pStyle w:val="Default"/>
        <w:spacing w:before="120" w:after="120"/>
        <w:ind w:left="426"/>
        <w:jc w:val="both"/>
        <w:rPr>
          <w:rFonts w:ascii="Arial" w:hAnsi="Arial" w:cs="Arial"/>
          <w:color w:val="auto"/>
        </w:rPr>
      </w:pPr>
      <w:r w:rsidRPr="001E5231">
        <w:rPr>
          <w:rFonts w:ascii="Arial" w:hAnsi="Arial" w:cs="Arial"/>
          <w:color w:val="auto"/>
        </w:rPr>
        <w:t>Ve lhůtě pro předložení vyúčtování předloží příjemce poskytovateli také závěrečnou zprávu, a to elektronicky jako přílohu vyúčtování dotace v systému RAP.</w:t>
      </w:r>
    </w:p>
    <w:p w14:paraId="5118DE61" w14:textId="77777777" w:rsidR="0049298D" w:rsidRPr="001E5231" w:rsidRDefault="0049298D" w:rsidP="0049298D">
      <w:pPr>
        <w:spacing w:after="120"/>
        <w:ind w:left="426"/>
        <w:rPr>
          <w:rFonts w:ascii="Arial" w:hAnsi="Arial" w:cs="Arial"/>
          <w:iCs/>
        </w:rPr>
      </w:pPr>
      <w:r w:rsidRPr="001E5231">
        <w:rPr>
          <w:rFonts w:ascii="Arial" w:hAnsi="Arial" w:cs="Arial"/>
        </w:rPr>
        <w:t xml:space="preserve">Závěrečná zpráva musí obsahovat stručné zhodnocení akce. V příloze závěrečné zprávy je příjemce povinen předložit poskytovateli </w:t>
      </w:r>
      <w:r w:rsidRPr="001E5231">
        <w:rPr>
          <w:rFonts w:ascii="Arial" w:hAnsi="Arial" w:cs="Arial"/>
          <w:iCs/>
        </w:rPr>
        <w:t xml:space="preserve">fotodokumentaci z průběhu akce, fotodokumentaci splnění povinné propagace poskytovatele a  užití jeho loga dle čl. II odst. 10 této smlouvy vč. </w:t>
      </w:r>
      <w:proofErr w:type="spellStart"/>
      <w:r w:rsidRPr="001E5231">
        <w:rPr>
          <w:rFonts w:ascii="Arial" w:hAnsi="Arial" w:cs="Arial"/>
          <w:iCs/>
        </w:rPr>
        <w:t>printscreenu</w:t>
      </w:r>
      <w:proofErr w:type="spellEnd"/>
      <w:r w:rsidRPr="001E5231">
        <w:rPr>
          <w:rFonts w:ascii="Arial" w:hAnsi="Arial" w:cs="Arial"/>
          <w:iCs/>
        </w:rPr>
        <w:t xml:space="preserve"> webových stránek nebo sociálních sítí s logem Olomouckého kraje.</w:t>
      </w:r>
    </w:p>
    <w:p w14:paraId="42181956" w14:textId="77777777" w:rsidR="0049298D" w:rsidRPr="001E5231" w:rsidRDefault="0049298D" w:rsidP="0049298D">
      <w:pPr>
        <w:pStyle w:val="Default"/>
        <w:spacing w:before="120" w:after="120"/>
        <w:ind w:left="426" w:hanging="426"/>
        <w:jc w:val="both"/>
        <w:rPr>
          <w:rFonts w:ascii="Arial" w:hAnsi="Arial" w:cs="Arial"/>
          <w:color w:val="auto"/>
        </w:rPr>
      </w:pPr>
      <w:r w:rsidRPr="001E5231">
        <w:rPr>
          <w:rFonts w:ascii="Arial" w:hAnsi="Arial" w:cs="Arial"/>
          <w:color w:val="auto"/>
        </w:rPr>
        <w:t>5.</w:t>
      </w:r>
      <w:r w:rsidRPr="001E5231">
        <w:rPr>
          <w:rFonts w:ascii="Arial" w:hAnsi="Arial" w:cs="Arial"/>
          <w:color w:val="auto"/>
        </w:rPr>
        <w:tab/>
        <w:t xml:space="preserve">V případě, že dotace nebyla použita v celé výši ve lhůtě uvedené v čl. II odst. 2 této smlouvy, nebo v případě, že celkové příjemcem skutečně vynaložené uznatelné výdaje na účel uvedený v čl. I odst. 2 a 4 této smlouvy byly nižší než celkové předpokládané uznatelné výdaje dle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1E5231">
        <w:rPr>
          <w:rFonts w:ascii="Arial" w:hAnsi="Arial" w:cs="Arial"/>
          <w:color w:val="auto"/>
        </w:rPr>
        <w:t>ust</w:t>
      </w:r>
      <w:proofErr w:type="spellEnd"/>
      <w:r w:rsidRPr="001E5231">
        <w:rPr>
          <w:rFonts w:ascii="Arial" w:hAnsi="Arial" w:cs="Arial"/>
          <w:color w:val="auto"/>
        </w:rPr>
        <w:t xml:space="preserve">. § 22 zákona č. 250/2000 Sb., o rozpočtových pravidlech územních rozpočtů, ve znění pozdějších předpisů. </w:t>
      </w:r>
    </w:p>
    <w:p w14:paraId="3190D9E0" w14:textId="77777777" w:rsidR="0049298D" w:rsidRPr="001E5231" w:rsidRDefault="0049298D" w:rsidP="0049298D">
      <w:pPr>
        <w:spacing w:after="120"/>
        <w:ind w:left="426" w:hanging="426"/>
        <w:rPr>
          <w:rFonts w:ascii="Arial" w:hAnsi="Arial" w:cs="Arial"/>
        </w:rPr>
      </w:pPr>
      <w:r w:rsidRPr="001E5231">
        <w:rPr>
          <w:rFonts w:ascii="Arial" w:hAnsi="Arial" w:cs="Arial"/>
          <w:color w:val="000000"/>
        </w:rPr>
        <w:t>6.</w:t>
      </w:r>
      <w:r w:rsidRPr="001E5231">
        <w:rPr>
          <w:rFonts w:ascii="Arial" w:hAnsi="Arial" w:cs="Arial"/>
          <w:color w:val="000000"/>
        </w:rPr>
        <w:tab/>
      </w:r>
      <w:r w:rsidRPr="001E5231">
        <w:rPr>
          <w:rFonts w:ascii="Arial" w:hAnsi="Arial" w:cs="Arial"/>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w:t>
      </w:r>
      <w:r w:rsidRPr="001E5231">
        <w:rPr>
          <w:rFonts w:ascii="Arial" w:hAnsi="Arial" w:cs="Arial"/>
        </w:rPr>
        <w:lastRenderedPageBreak/>
        <w:t xml:space="preserve">smyslu </w:t>
      </w:r>
      <w:proofErr w:type="spellStart"/>
      <w:r w:rsidRPr="001E5231">
        <w:rPr>
          <w:rFonts w:ascii="Arial" w:hAnsi="Arial" w:cs="Arial"/>
        </w:rPr>
        <w:t>ust</w:t>
      </w:r>
      <w:proofErr w:type="spellEnd"/>
      <w:r w:rsidRPr="001E5231">
        <w:rPr>
          <w:rFonts w:ascii="Arial" w:hAnsi="Arial" w:cs="Arial"/>
        </w:rPr>
        <w:t xml:space="preserve">.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w:t>
      </w:r>
      <w:bookmarkStart w:id="0" w:name="_Hlk62669703"/>
      <w:r w:rsidRPr="001E5231">
        <w:rPr>
          <w:rFonts w:ascii="Arial" w:hAnsi="Arial" w:cs="Arial"/>
        </w:rPr>
        <w:t xml:space="preserve">nebudou předloženy způsobem stanoveným v čl. II odst. 4 této smlouvy nebo </w:t>
      </w:r>
      <w:bookmarkEnd w:id="0"/>
      <w:r w:rsidRPr="001E5231">
        <w:rPr>
          <w:rFonts w:ascii="Arial" w:hAnsi="Arial" w:cs="Arial"/>
        </w:rPr>
        <w:t>nebudou obsahovat všechny náležitosti stanovené v čl. II odst. 4 této smlouvy, dopustí se příjemce porušení rozpočtové kázně až v případě, že</w:t>
      </w:r>
      <w:bookmarkStart w:id="1" w:name="_GoBack"/>
      <w:bookmarkEnd w:id="1"/>
      <w:r w:rsidRPr="001E5231">
        <w:rPr>
          <w:rFonts w:ascii="Arial" w:hAnsi="Arial" w:cs="Arial"/>
        </w:rPr>
        <w:t xml:space="preserve"> nedoplní nebo neopraví chybné nebo neúplné vyúčtování nebo závěrečnou zprávu ve lhůtě 15 dnů ode dne doručení výzvy poskytovatele. </w:t>
      </w:r>
    </w:p>
    <w:p w14:paraId="1D0333DA" w14:textId="77777777" w:rsidR="0049298D" w:rsidRPr="001E5231" w:rsidRDefault="0049298D" w:rsidP="0049298D">
      <w:pPr>
        <w:pStyle w:val="Odstavecseseznamem"/>
        <w:numPr>
          <w:ilvl w:val="0"/>
          <w:numId w:val="6"/>
        </w:numPr>
        <w:spacing w:after="120"/>
        <w:ind w:left="426" w:hanging="426"/>
        <w:jc w:val="both"/>
        <w:rPr>
          <w:rFonts w:ascii="Arial" w:hAnsi="Arial" w:cs="Arial"/>
          <w:i/>
          <w:iCs/>
        </w:rPr>
      </w:pPr>
      <w:r w:rsidRPr="001E5231">
        <w:rPr>
          <w:rFonts w:ascii="Arial" w:hAnsi="Arial" w:cs="Arial"/>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829" w:type="dxa"/>
        <w:tblInd w:w="416" w:type="dxa"/>
        <w:tblCellMar>
          <w:left w:w="0" w:type="dxa"/>
          <w:right w:w="0" w:type="dxa"/>
        </w:tblCellMar>
        <w:tblLook w:val="04A0" w:firstRow="1" w:lastRow="0" w:firstColumn="1" w:lastColumn="0" w:noHBand="0" w:noVBand="1"/>
      </w:tblPr>
      <w:tblGrid>
        <w:gridCol w:w="6638"/>
        <w:gridCol w:w="2191"/>
      </w:tblGrid>
      <w:tr w:rsidR="0049298D" w:rsidRPr="001E5231" w14:paraId="23870CCB" w14:textId="77777777" w:rsidTr="009C2D70">
        <w:trPr>
          <w:trHeight w:val="300"/>
        </w:trPr>
        <w:tc>
          <w:tcPr>
            <w:tcW w:w="663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EE904FE" w14:textId="77777777" w:rsidR="0049298D" w:rsidRPr="001E5231" w:rsidRDefault="0049298D" w:rsidP="009C2D70">
            <w:pPr>
              <w:rPr>
                <w:rFonts w:ascii="Arial" w:eastAsia="Calibri" w:hAnsi="Arial" w:cs="Arial"/>
                <w:b/>
              </w:rPr>
            </w:pPr>
            <w:r w:rsidRPr="001E5231">
              <w:rPr>
                <w:rFonts w:ascii="Arial" w:eastAsia="Calibri" w:hAnsi="Arial" w:cs="Arial"/>
                <w:b/>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C715318" w14:textId="77777777" w:rsidR="0049298D" w:rsidRPr="001E5231" w:rsidRDefault="0049298D" w:rsidP="009C2D70">
            <w:pPr>
              <w:rPr>
                <w:rFonts w:ascii="Arial" w:eastAsia="Calibri" w:hAnsi="Arial" w:cs="Arial"/>
                <w:b/>
              </w:rPr>
            </w:pPr>
            <w:r w:rsidRPr="001E5231">
              <w:rPr>
                <w:rFonts w:ascii="Arial" w:eastAsia="Calibri" w:hAnsi="Arial" w:cs="Arial"/>
                <w:b/>
              </w:rPr>
              <w:t>Výše odvodu</w:t>
            </w:r>
          </w:p>
          <w:p w14:paraId="528DC338" w14:textId="77777777" w:rsidR="0049298D" w:rsidRPr="001E5231" w:rsidRDefault="0049298D" w:rsidP="009C2D70">
            <w:pPr>
              <w:rPr>
                <w:rFonts w:ascii="Arial" w:eastAsia="Calibri" w:hAnsi="Arial" w:cs="Arial"/>
                <w:b/>
              </w:rPr>
            </w:pPr>
            <w:r w:rsidRPr="001E5231">
              <w:rPr>
                <w:rFonts w:ascii="Arial" w:eastAsia="Calibri" w:hAnsi="Arial" w:cs="Arial"/>
                <w:b/>
              </w:rPr>
              <w:t>v % z celkově poskytnuté dotace</w:t>
            </w:r>
          </w:p>
        </w:tc>
      </w:tr>
      <w:tr w:rsidR="0049298D" w:rsidRPr="001E5231" w14:paraId="48B746CF" w14:textId="77777777" w:rsidTr="009C2D70">
        <w:trPr>
          <w:trHeight w:val="300"/>
        </w:trPr>
        <w:tc>
          <w:tcPr>
            <w:tcW w:w="6638"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0F028C3C" w14:textId="77777777" w:rsidR="0049298D" w:rsidRPr="001E5231" w:rsidRDefault="0049298D" w:rsidP="009C2D70">
            <w:pPr>
              <w:rPr>
                <w:rFonts w:ascii="Arial" w:eastAsia="Calibri" w:hAnsi="Arial" w:cs="Arial"/>
              </w:rPr>
            </w:pPr>
            <w:r w:rsidRPr="001E5231">
              <w:rPr>
                <w:rFonts w:ascii="Arial" w:eastAsia="Calibri" w:hAnsi="Arial" w:cs="Arial"/>
              </w:rPr>
              <w:t>Nedodržení povinnosti vést dotaci v účetnictví analyticky odděleně nebo na samostatném bankovním účtu, je-li tato povinnost uvedena ve smlouvě</w:t>
            </w:r>
          </w:p>
        </w:tc>
        <w:tc>
          <w:tcPr>
            <w:tcW w:w="219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6FCA8E05" w14:textId="77777777" w:rsidR="0049298D" w:rsidRPr="001E5231" w:rsidRDefault="0049298D" w:rsidP="009C2D70">
            <w:pPr>
              <w:jc w:val="center"/>
              <w:rPr>
                <w:rFonts w:ascii="Arial" w:eastAsia="Calibri" w:hAnsi="Arial" w:cs="Arial"/>
              </w:rPr>
            </w:pPr>
            <w:r w:rsidRPr="001E5231">
              <w:rPr>
                <w:rFonts w:ascii="Arial" w:eastAsia="Calibri" w:hAnsi="Arial" w:cs="Arial"/>
              </w:rPr>
              <w:t>5 %</w:t>
            </w:r>
          </w:p>
        </w:tc>
      </w:tr>
      <w:tr w:rsidR="0049298D" w:rsidRPr="001E5231" w14:paraId="0191388A" w14:textId="77777777" w:rsidTr="009C2D70">
        <w:trPr>
          <w:trHeight w:val="300"/>
        </w:trPr>
        <w:tc>
          <w:tcPr>
            <w:tcW w:w="6638"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A2449BE" w14:textId="77777777" w:rsidR="0049298D" w:rsidRPr="001E5231" w:rsidRDefault="0049298D" w:rsidP="009C2D70">
            <w:pPr>
              <w:rPr>
                <w:rFonts w:ascii="Arial" w:eastAsia="Calibri" w:hAnsi="Arial" w:cs="Arial"/>
              </w:rPr>
            </w:pPr>
            <w:r w:rsidRPr="001E5231">
              <w:rPr>
                <w:rFonts w:ascii="Arial" w:eastAsia="Calibri" w:hAnsi="Arial" w:cs="Arial"/>
              </w:rPr>
              <w:t>Použití dotace nebo její části do 30 kalendářních dnů po termínu nebo lhůtě pro použití dotace uvedených ve smlouvě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1D2DCFFF" w14:textId="77777777" w:rsidR="0049298D" w:rsidRPr="001E5231" w:rsidRDefault="0049298D" w:rsidP="009C2D70">
            <w:pPr>
              <w:jc w:val="center"/>
              <w:rPr>
                <w:rFonts w:ascii="Arial" w:eastAsia="Calibri" w:hAnsi="Arial" w:cs="Arial"/>
              </w:rPr>
            </w:pPr>
            <w:r w:rsidRPr="001E5231">
              <w:rPr>
                <w:rFonts w:ascii="Arial" w:eastAsia="Calibri" w:hAnsi="Arial" w:cs="Arial"/>
              </w:rPr>
              <w:t>5 %</w:t>
            </w:r>
          </w:p>
        </w:tc>
      </w:tr>
      <w:tr w:rsidR="0049298D" w:rsidRPr="001E5231" w14:paraId="4EC32AD8" w14:textId="77777777" w:rsidTr="009C2D70">
        <w:trPr>
          <w:trHeight w:val="300"/>
        </w:trPr>
        <w:tc>
          <w:tcPr>
            <w:tcW w:w="66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B32C3E0" w14:textId="77777777" w:rsidR="0049298D" w:rsidRPr="001E5231" w:rsidRDefault="0049298D" w:rsidP="009C2D70">
            <w:pPr>
              <w:rPr>
                <w:rFonts w:ascii="Arial" w:eastAsia="Calibri" w:hAnsi="Arial" w:cs="Arial"/>
              </w:rPr>
            </w:pPr>
            <w:r w:rsidRPr="001E5231">
              <w:rPr>
                <w:rFonts w:ascii="Arial" w:eastAsia="Calibri" w:hAnsi="Arial" w:cs="Arial"/>
              </w:rPr>
              <w:t>Předložení vyúčtování a závěrečné zprávy o využití dotace s prodlením do 60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9135A1" w14:textId="77777777" w:rsidR="0049298D" w:rsidRPr="001E5231" w:rsidRDefault="0049298D" w:rsidP="009C2D70">
            <w:pPr>
              <w:jc w:val="center"/>
              <w:rPr>
                <w:rFonts w:ascii="Arial" w:eastAsia="Calibri" w:hAnsi="Arial" w:cs="Arial"/>
              </w:rPr>
            </w:pPr>
            <w:r w:rsidRPr="001E5231">
              <w:rPr>
                <w:rFonts w:ascii="Arial" w:eastAsia="Calibri" w:hAnsi="Arial" w:cs="Arial"/>
              </w:rPr>
              <w:t>2 %</w:t>
            </w:r>
          </w:p>
        </w:tc>
      </w:tr>
      <w:tr w:rsidR="0049298D" w:rsidRPr="001E5231" w14:paraId="66FE17A1" w14:textId="77777777" w:rsidTr="009C2D70">
        <w:trPr>
          <w:trHeight w:val="300"/>
        </w:trPr>
        <w:tc>
          <w:tcPr>
            <w:tcW w:w="66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04F73A4" w14:textId="77777777" w:rsidR="0049298D" w:rsidRPr="001E5231" w:rsidRDefault="0049298D" w:rsidP="009C2D70">
            <w:pPr>
              <w:rPr>
                <w:rFonts w:ascii="Arial" w:eastAsia="Calibri" w:hAnsi="Arial" w:cs="Arial"/>
              </w:rPr>
            </w:pPr>
            <w:r w:rsidRPr="001E5231">
              <w:rPr>
                <w:rFonts w:ascii="Arial" w:eastAsia="Calibri" w:hAnsi="Arial" w:cs="Arial"/>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1425E1" w14:textId="77777777" w:rsidR="0049298D" w:rsidRPr="001E5231" w:rsidRDefault="0049298D" w:rsidP="009C2D70">
            <w:pPr>
              <w:jc w:val="center"/>
              <w:rPr>
                <w:rFonts w:ascii="Arial" w:eastAsia="Calibri" w:hAnsi="Arial" w:cs="Arial"/>
              </w:rPr>
            </w:pPr>
            <w:r w:rsidRPr="001E5231">
              <w:rPr>
                <w:rFonts w:ascii="Arial" w:eastAsia="Calibri" w:hAnsi="Arial" w:cs="Arial"/>
              </w:rPr>
              <w:t>5 %</w:t>
            </w:r>
          </w:p>
        </w:tc>
      </w:tr>
      <w:tr w:rsidR="0049298D" w:rsidRPr="001E5231" w14:paraId="79E6F177" w14:textId="77777777" w:rsidTr="009C2D70">
        <w:trPr>
          <w:trHeight w:val="300"/>
        </w:trPr>
        <w:tc>
          <w:tcPr>
            <w:tcW w:w="66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DD7519" w14:textId="77777777" w:rsidR="0049298D" w:rsidRPr="001E5231" w:rsidRDefault="0049298D" w:rsidP="009C2D70">
            <w:pPr>
              <w:rPr>
                <w:rFonts w:ascii="Arial" w:eastAsia="Calibri" w:hAnsi="Arial" w:cs="Arial"/>
              </w:rPr>
            </w:pPr>
            <w:r w:rsidRPr="001E5231">
              <w:rPr>
                <w:rFonts w:ascii="Arial" w:eastAsia="Calibri" w:hAnsi="Arial" w:cs="Arial"/>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E2125B" w14:textId="77777777" w:rsidR="0049298D" w:rsidRPr="001E5231" w:rsidRDefault="0049298D" w:rsidP="009C2D70">
            <w:pPr>
              <w:jc w:val="center"/>
              <w:rPr>
                <w:rFonts w:ascii="Arial" w:eastAsia="Calibri" w:hAnsi="Arial" w:cs="Arial"/>
              </w:rPr>
            </w:pPr>
            <w:r w:rsidRPr="001E5231">
              <w:rPr>
                <w:rFonts w:ascii="Arial" w:eastAsia="Calibri" w:hAnsi="Arial" w:cs="Arial"/>
              </w:rPr>
              <w:t>5 %</w:t>
            </w:r>
          </w:p>
        </w:tc>
      </w:tr>
      <w:tr w:rsidR="0049298D" w:rsidRPr="001E5231" w14:paraId="7D647419" w14:textId="77777777" w:rsidTr="009C2D70">
        <w:trPr>
          <w:trHeight w:val="300"/>
        </w:trPr>
        <w:tc>
          <w:tcPr>
            <w:tcW w:w="663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BCA5C37" w14:textId="77777777" w:rsidR="0049298D" w:rsidRPr="001E5231" w:rsidRDefault="0049298D" w:rsidP="009C2D70">
            <w:pPr>
              <w:rPr>
                <w:rFonts w:ascii="Arial" w:eastAsia="Calibri" w:hAnsi="Arial" w:cs="Arial"/>
              </w:rPr>
            </w:pPr>
            <w:r w:rsidRPr="001E5231">
              <w:rPr>
                <w:rFonts w:ascii="Arial" w:eastAsia="Calibri" w:hAnsi="Arial" w:cs="Arial"/>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4078BC" w14:textId="77777777" w:rsidR="0049298D" w:rsidRPr="001E5231" w:rsidRDefault="0049298D" w:rsidP="009C2D70">
            <w:pPr>
              <w:jc w:val="center"/>
              <w:rPr>
                <w:rFonts w:ascii="Arial" w:eastAsia="Calibri" w:hAnsi="Arial" w:cs="Arial"/>
              </w:rPr>
            </w:pPr>
            <w:r w:rsidRPr="001E5231">
              <w:rPr>
                <w:rFonts w:ascii="Arial" w:eastAsia="Calibri" w:hAnsi="Arial" w:cs="Arial"/>
              </w:rPr>
              <w:t>5 %</w:t>
            </w:r>
          </w:p>
        </w:tc>
      </w:tr>
      <w:tr w:rsidR="0049298D" w:rsidRPr="001E5231" w14:paraId="254FC868" w14:textId="77777777" w:rsidTr="009C2D70">
        <w:trPr>
          <w:trHeight w:val="300"/>
        </w:trPr>
        <w:tc>
          <w:tcPr>
            <w:tcW w:w="6638"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11C6DEF1" w14:textId="77777777" w:rsidR="0049298D" w:rsidRPr="001E5231" w:rsidRDefault="0049298D" w:rsidP="009C2D70">
            <w:pPr>
              <w:rPr>
                <w:rFonts w:ascii="Arial" w:eastAsia="Calibri" w:hAnsi="Arial" w:cs="Arial"/>
              </w:rPr>
            </w:pPr>
            <w:r w:rsidRPr="001E5231">
              <w:rPr>
                <w:rFonts w:ascii="Arial" w:eastAsia="Calibri" w:hAnsi="Arial" w:cs="Arial"/>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156380C5" w14:textId="77777777" w:rsidR="0049298D" w:rsidRPr="001E5231" w:rsidRDefault="0049298D" w:rsidP="0049298D">
            <w:pPr>
              <w:pStyle w:val="Odstavecseseznamem"/>
              <w:numPr>
                <w:ilvl w:val="0"/>
                <w:numId w:val="7"/>
              </w:numPr>
              <w:jc w:val="center"/>
              <w:rPr>
                <w:rFonts w:ascii="Arial" w:eastAsia="Calibri" w:hAnsi="Arial" w:cs="Arial"/>
              </w:rPr>
            </w:pPr>
            <w:r w:rsidRPr="001E5231">
              <w:rPr>
                <w:rFonts w:ascii="Arial" w:eastAsia="Calibri" w:hAnsi="Arial" w:cs="Arial"/>
              </w:rPr>
              <w:t>%</w:t>
            </w:r>
          </w:p>
        </w:tc>
      </w:tr>
    </w:tbl>
    <w:p w14:paraId="00C7F229" w14:textId="77777777" w:rsidR="0049298D" w:rsidRPr="001E5231" w:rsidRDefault="0049298D" w:rsidP="0049298D">
      <w:pPr>
        <w:spacing w:after="120"/>
        <w:ind w:left="567"/>
        <w:rPr>
          <w:rFonts w:ascii="Arial" w:hAnsi="Arial" w:cs="Arial"/>
          <w:iCs/>
        </w:rPr>
      </w:pPr>
    </w:p>
    <w:p w14:paraId="11A1C11A" w14:textId="77777777" w:rsidR="0049298D" w:rsidRPr="001E5231" w:rsidRDefault="0049298D" w:rsidP="0049298D">
      <w:pPr>
        <w:pStyle w:val="Odstavecseseznamem"/>
        <w:numPr>
          <w:ilvl w:val="0"/>
          <w:numId w:val="6"/>
        </w:numPr>
        <w:spacing w:before="120" w:after="120"/>
        <w:ind w:left="567" w:hanging="567"/>
        <w:jc w:val="both"/>
        <w:rPr>
          <w:rFonts w:ascii="Arial" w:hAnsi="Arial" w:cs="Arial"/>
        </w:rPr>
      </w:pPr>
      <w:r w:rsidRPr="001E5231">
        <w:rPr>
          <w:rFonts w:ascii="Arial" w:hAnsi="Arial" w:cs="Arial"/>
        </w:rPr>
        <w:t xml:space="preserve">V případě, že je příjemce dle této smlouvy povinen vrátit dotaci nebo její část, vrátí příjemce dotaci nebo její část na účet poskytovatele č. 27-4228320287/0100. Případný odvod či penále se hradí na účet poskytovatele č. 27-4228320287/0100 na základě vystavené faktury. </w:t>
      </w:r>
    </w:p>
    <w:p w14:paraId="0579AA63" w14:textId="77777777" w:rsidR="0049298D" w:rsidRPr="001E5231" w:rsidRDefault="0049298D" w:rsidP="0049298D">
      <w:pPr>
        <w:pStyle w:val="Odstavecseseznamem"/>
        <w:numPr>
          <w:ilvl w:val="0"/>
          <w:numId w:val="6"/>
        </w:numPr>
        <w:spacing w:before="120" w:after="120"/>
        <w:ind w:left="567" w:hanging="567"/>
        <w:jc w:val="both"/>
        <w:rPr>
          <w:rFonts w:ascii="Arial" w:hAnsi="Arial" w:cs="Arial"/>
          <w:i/>
          <w:iCs/>
        </w:rPr>
      </w:pPr>
      <w:r w:rsidRPr="001E5231">
        <w:rPr>
          <w:rFonts w:ascii="Arial" w:hAnsi="Arial" w:cs="Arial"/>
        </w:rPr>
        <w:t xml:space="preserve">Příjemce se zavazuje seznámit poskytovatele, do 15 dnů od jejich vzniku, s těmito skutečnostmi: se změnami zakladatelské listiny, adresy sídla, </w:t>
      </w:r>
      <w:r w:rsidRPr="001E5231">
        <w:rPr>
          <w:rFonts w:ascii="Arial" w:hAnsi="Arial" w:cs="Arial"/>
        </w:rPr>
        <w:lastRenderedPageBreak/>
        <w:t>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278A4FD3" w14:textId="77777777" w:rsidR="0049298D" w:rsidRPr="001E5231" w:rsidRDefault="0049298D" w:rsidP="0049298D">
      <w:pPr>
        <w:numPr>
          <w:ilvl w:val="0"/>
          <w:numId w:val="6"/>
        </w:numPr>
        <w:tabs>
          <w:tab w:val="num" w:pos="747"/>
        </w:tabs>
        <w:spacing w:after="120"/>
        <w:ind w:left="567" w:hanging="567"/>
        <w:jc w:val="both"/>
        <w:rPr>
          <w:rFonts w:ascii="Arial" w:hAnsi="Arial" w:cs="Arial"/>
        </w:rPr>
      </w:pPr>
      <w:r w:rsidRPr="001E5231">
        <w:rPr>
          <w:rFonts w:ascii="Arial" w:hAnsi="Arial" w:cs="Arial"/>
        </w:rPr>
        <w:t xml:space="preserve">Příjemce je povinen uvádět logo poskytovatele na svých webových stránkách nebo sociálních sítích po dobu realizace akce, dále je příjemce povinen označit propagační materiály příjemce, vztahující se k účelu dotace, logem poskytovatele a umístit reklamní panel, nebo obdobné zařízení, s logem poskytovatele do místa, ve kterém je realizována podpořená akce, po dobu realizace obnovy. </w:t>
      </w:r>
    </w:p>
    <w:p w14:paraId="00252829" w14:textId="77777777" w:rsidR="0049298D" w:rsidRPr="001E5231" w:rsidRDefault="0049298D" w:rsidP="0049298D">
      <w:pPr>
        <w:spacing w:after="120"/>
        <w:ind w:left="567"/>
        <w:rPr>
          <w:rFonts w:ascii="Arial" w:hAnsi="Arial" w:cs="Arial"/>
        </w:rPr>
      </w:pPr>
      <w:r w:rsidRPr="001E5231">
        <w:rPr>
          <w:rFonts w:ascii="Arial" w:hAnsi="Arial" w:cs="Arial"/>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2C826834" w14:textId="77777777" w:rsidR="0049298D" w:rsidRPr="001E5231" w:rsidRDefault="0049298D" w:rsidP="0049298D">
      <w:pPr>
        <w:numPr>
          <w:ilvl w:val="0"/>
          <w:numId w:val="6"/>
        </w:numPr>
        <w:spacing w:after="120"/>
        <w:ind w:left="567" w:hanging="578"/>
        <w:jc w:val="both"/>
        <w:rPr>
          <w:rFonts w:ascii="Arial" w:hAnsi="Arial" w:cs="Arial"/>
        </w:rPr>
      </w:pPr>
      <w:r w:rsidRPr="001E5231">
        <w:rPr>
          <w:rFonts w:ascii="Arial" w:hAnsi="Arial" w:cs="Arial"/>
        </w:rPr>
        <w:t>Poskytovatel uděluje příjemci souhlas s bezúplatným užitím loga Olomouckého kraje způsobem a v rozsahu uvedeném v čl. II odst. 10 této smlouvy.</w:t>
      </w:r>
    </w:p>
    <w:p w14:paraId="21E450AC" w14:textId="77777777" w:rsidR="0049298D" w:rsidRPr="001E5231" w:rsidRDefault="0049298D" w:rsidP="0049298D">
      <w:pPr>
        <w:numPr>
          <w:ilvl w:val="0"/>
          <w:numId w:val="6"/>
        </w:numPr>
        <w:spacing w:after="120"/>
        <w:ind w:left="567" w:hanging="578"/>
        <w:jc w:val="both"/>
        <w:rPr>
          <w:rFonts w:ascii="Arial" w:hAnsi="Arial" w:cs="Arial"/>
          <w:i/>
          <w:iCs/>
        </w:rPr>
      </w:pPr>
      <w:r w:rsidRPr="001E5231">
        <w:rPr>
          <w:rFonts w:ascii="Arial" w:hAnsi="Arial" w:cs="Arial"/>
        </w:rPr>
        <w:t>Pokud bude příjemce při realizaci akce, na niž je poskytována dotace dle této smlouvy, zadavatelem veřejné zakázky dle příslušných ustanovení zákona o zadávání veřejných zakázek, je povinen při její realizaci postupovat dle tohoto zákona.</w:t>
      </w:r>
    </w:p>
    <w:p w14:paraId="4EF7A26C" w14:textId="77777777" w:rsidR="0049298D" w:rsidRPr="001E5231" w:rsidRDefault="0049298D" w:rsidP="0049298D">
      <w:pPr>
        <w:numPr>
          <w:ilvl w:val="0"/>
          <w:numId w:val="6"/>
        </w:numPr>
        <w:spacing w:after="120"/>
        <w:ind w:left="567" w:hanging="567"/>
        <w:jc w:val="both"/>
        <w:rPr>
          <w:rFonts w:ascii="Arial" w:hAnsi="Arial" w:cs="Arial"/>
          <w:i/>
          <w:iCs/>
        </w:rPr>
      </w:pPr>
      <w:r w:rsidRPr="001E5231">
        <w:rPr>
          <w:rFonts w:ascii="Arial" w:hAnsi="Arial" w:cs="Arial"/>
          <w:bCs/>
          <w:iCs/>
        </w:rPr>
        <w:t>Příjemce dále prohlašuje, že v době od podání žádosti o dotaci do dne podpisu této smlouvy u něj nedošlo k žádné změně předpokládané v čl. 1 odst. 6 Zásad, kterou ve lhůtě stanovené Zásadami neoznámil poskytovateli.</w:t>
      </w:r>
    </w:p>
    <w:p w14:paraId="0D1EF9D1" w14:textId="77777777" w:rsidR="0049298D" w:rsidRPr="001E5231" w:rsidRDefault="0049298D" w:rsidP="0049298D">
      <w:pPr>
        <w:spacing w:after="120"/>
        <w:ind w:left="567"/>
        <w:rPr>
          <w:rFonts w:ascii="Arial" w:hAnsi="Arial" w:cs="Arial"/>
          <w:iCs/>
        </w:rPr>
      </w:pPr>
      <w:r w:rsidRPr="001E5231">
        <w:rPr>
          <w:rFonts w:ascii="Arial" w:hAnsi="Arial" w:cs="Arial"/>
          <w:bCs/>
          <w:iCs/>
        </w:rPr>
        <w:t xml:space="preserve">V případě nepravdivosti některého z těchto prohlášení se jedná o porušení rozpočtové kázně ve smyslu </w:t>
      </w:r>
      <w:proofErr w:type="spellStart"/>
      <w:r w:rsidRPr="001E5231">
        <w:rPr>
          <w:rFonts w:ascii="Arial" w:hAnsi="Arial" w:cs="Arial"/>
          <w:bCs/>
          <w:iCs/>
        </w:rPr>
        <w:t>ust</w:t>
      </w:r>
      <w:proofErr w:type="spellEnd"/>
      <w:r w:rsidRPr="001E5231">
        <w:rPr>
          <w:rFonts w:ascii="Arial" w:hAnsi="Arial" w:cs="Arial"/>
          <w:bCs/>
          <w:iCs/>
        </w:rPr>
        <w:t>. § 22 zákona č. 250/2000 Sb., o rozpočtových pravidlech územních rozpočtů, ve znění pozdějších předpisů.</w:t>
      </w:r>
    </w:p>
    <w:p w14:paraId="78628A5C" w14:textId="77777777" w:rsidR="0049298D" w:rsidRPr="001E5231" w:rsidRDefault="0049298D" w:rsidP="0049298D">
      <w:pPr>
        <w:spacing w:before="480" w:after="240"/>
        <w:jc w:val="center"/>
        <w:rPr>
          <w:rFonts w:ascii="Arial" w:hAnsi="Arial" w:cs="Arial"/>
          <w:b/>
          <w:bCs/>
        </w:rPr>
      </w:pPr>
      <w:r w:rsidRPr="001E5231">
        <w:rPr>
          <w:rFonts w:ascii="Arial" w:hAnsi="Arial" w:cs="Arial"/>
          <w:b/>
          <w:bCs/>
        </w:rPr>
        <w:t>III.</w:t>
      </w:r>
    </w:p>
    <w:p w14:paraId="7762D78A" w14:textId="77777777" w:rsidR="0049298D" w:rsidRPr="001E5231" w:rsidRDefault="0049298D" w:rsidP="0049298D">
      <w:pPr>
        <w:numPr>
          <w:ilvl w:val="0"/>
          <w:numId w:val="5"/>
        </w:numPr>
        <w:spacing w:after="120"/>
        <w:jc w:val="both"/>
        <w:rPr>
          <w:rFonts w:ascii="Arial" w:hAnsi="Arial" w:cs="Arial"/>
        </w:rPr>
      </w:pPr>
      <w:r w:rsidRPr="001E5231">
        <w:rPr>
          <w:rFonts w:ascii="Arial" w:hAnsi="Arial" w:cs="Arial"/>
        </w:rPr>
        <w:t>Smlouva se uzavírá v souladu s § 159 a násl. zákona č. 500/2004 Sb., správní řád, ve znění pozdějších právních předpisů, a se zákonem č. 250/2000 Sb., o rozpočtových pravidlech územních rozpočtů, ve znění pozdějších právních předpisů.</w:t>
      </w:r>
    </w:p>
    <w:p w14:paraId="25F3CD88" w14:textId="77777777" w:rsidR="0049298D" w:rsidRPr="001E5231" w:rsidRDefault="0049298D" w:rsidP="0049298D">
      <w:pPr>
        <w:numPr>
          <w:ilvl w:val="0"/>
          <w:numId w:val="5"/>
        </w:numPr>
        <w:spacing w:after="120"/>
        <w:jc w:val="both"/>
        <w:rPr>
          <w:rFonts w:ascii="Arial" w:hAnsi="Arial" w:cs="Arial"/>
        </w:rPr>
      </w:pPr>
      <w:r w:rsidRPr="001E5231">
        <w:rPr>
          <w:rFonts w:ascii="Arial" w:hAnsi="Arial" w:cs="Arial"/>
        </w:rPr>
        <w:t xml:space="preserve">Tato smlouva nabývá účinnosti dnem jejího uzavření. </w:t>
      </w:r>
    </w:p>
    <w:p w14:paraId="1520B2C0" w14:textId="77777777" w:rsidR="0049298D" w:rsidRPr="001E5231" w:rsidRDefault="0049298D" w:rsidP="0049298D">
      <w:pPr>
        <w:numPr>
          <w:ilvl w:val="0"/>
          <w:numId w:val="5"/>
        </w:numPr>
        <w:spacing w:after="120"/>
        <w:jc w:val="both"/>
        <w:rPr>
          <w:rFonts w:ascii="Arial" w:hAnsi="Arial" w:cs="Arial"/>
        </w:rPr>
      </w:pPr>
      <w:r w:rsidRPr="001E5231">
        <w:rPr>
          <w:rFonts w:ascii="Arial" w:hAnsi="Arial" w:cs="Arial"/>
        </w:rPr>
        <w:t>Tuto smlouvu lze měnit pouze písemnými vzestupně číslovanými dodatky.</w:t>
      </w:r>
    </w:p>
    <w:p w14:paraId="22762926" w14:textId="77777777" w:rsidR="0049298D" w:rsidRPr="001E5231" w:rsidRDefault="0049298D" w:rsidP="0049298D">
      <w:pPr>
        <w:numPr>
          <w:ilvl w:val="0"/>
          <w:numId w:val="5"/>
        </w:numPr>
        <w:spacing w:after="120"/>
        <w:jc w:val="both"/>
        <w:rPr>
          <w:rFonts w:ascii="Arial" w:hAnsi="Arial" w:cs="Arial"/>
        </w:rPr>
      </w:pPr>
      <w:r w:rsidRPr="001E5231">
        <w:rPr>
          <w:rFonts w:ascii="Arial" w:hAnsi="Arial" w:cs="Arial"/>
        </w:rPr>
        <w:t>Smluvní strany prohlašují, že souhlasí s případným zveřejněním textu této smlouvy v souladu se zákonem č. 106/1999 Sb., o svobodném přístupu k informacím, ve znění pozdějších předpisů.</w:t>
      </w:r>
    </w:p>
    <w:p w14:paraId="2A154F87" w14:textId="77777777" w:rsidR="0049298D" w:rsidRPr="001E5231" w:rsidRDefault="0049298D" w:rsidP="0049298D">
      <w:pPr>
        <w:numPr>
          <w:ilvl w:val="0"/>
          <w:numId w:val="5"/>
        </w:numPr>
        <w:spacing w:after="120"/>
        <w:jc w:val="both"/>
        <w:rPr>
          <w:rFonts w:ascii="Arial" w:hAnsi="Arial" w:cs="Arial"/>
        </w:rPr>
      </w:pPr>
      <w:r w:rsidRPr="001E5231">
        <w:rPr>
          <w:rFonts w:ascii="Arial" w:hAnsi="Arial" w:cs="Arial"/>
        </w:rPr>
        <w:t xml:space="preserve">Příjemce bere na vědomí, že osobní údaje poskytnuté Olomouckému kraji v souvislosti s poskytnutím dotace dle této smlouvy budou zpracovávány v souladu s nařízením EU o ochraně osobních údajů (GDPR). Bližší informace o </w:t>
      </w:r>
      <w:r w:rsidRPr="001E5231">
        <w:rPr>
          <w:rFonts w:ascii="Arial" w:hAnsi="Arial" w:cs="Arial"/>
        </w:rPr>
        <w:lastRenderedPageBreak/>
        <w:t xml:space="preserve">způsobech zpracování a právech příjemce při zpracování osobních údajů jsou zveřejněny na webových stránkách Olomouckého kraje </w:t>
      </w:r>
      <w:hyperlink r:id="rId7" w:history="1">
        <w:r w:rsidRPr="001E5231">
          <w:rPr>
            <w:rStyle w:val="Hypertextovodkaz"/>
            <w:rFonts w:ascii="Arial" w:hAnsi="Arial" w:cs="Arial"/>
            <w:color w:val="0000FF"/>
          </w:rPr>
          <w:t>www.olkraj.cz</w:t>
        </w:r>
      </w:hyperlink>
      <w:r w:rsidRPr="001E5231">
        <w:rPr>
          <w:rFonts w:ascii="Arial" w:hAnsi="Arial" w:cs="Arial"/>
        </w:rPr>
        <w:t>.</w:t>
      </w:r>
    </w:p>
    <w:p w14:paraId="0E98B4C7" w14:textId="2CFC347D" w:rsidR="0049298D" w:rsidRPr="001E5231" w:rsidRDefault="0049298D" w:rsidP="0049298D">
      <w:pPr>
        <w:numPr>
          <w:ilvl w:val="0"/>
          <w:numId w:val="5"/>
        </w:numPr>
        <w:spacing w:after="120"/>
        <w:jc w:val="both"/>
        <w:rPr>
          <w:rFonts w:ascii="Arial" w:hAnsi="Arial" w:cs="Arial"/>
        </w:rPr>
      </w:pPr>
      <w:r w:rsidRPr="001E5231">
        <w:rPr>
          <w:rFonts w:ascii="Arial" w:hAnsi="Arial" w:cs="Arial"/>
        </w:rPr>
        <w:t xml:space="preserve">Poskytnutí dotace a uzavření této smlouvy bylo schváleno usnesením Zastupitelstva Olomouckého </w:t>
      </w:r>
      <w:proofErr w:type="gramStart"/>
      <w:r w:rsidRPr="001E5231">
        <w:rPr>
          <w:rFonts w:ascii="Arial" w:hAnsi="Arial" w:cs="Arial"/>
        </w:rPr>
        <w:t>kraje č</w:t>
      </w:r>
      <w:r w:rsidR="00BB31D4">
        <w:rPr>
          <w:rFonts w:ascii="Arial" w:hAnsi="Arial" w:cs="Arial"/>
        </w:rPr>
        <w:t xml:space="preserve"> </w:t>
      </w:r>
      <w:r w:rsidR="00BB31D4" w:rsidRPr="00BB31D4">
        <w:rPr>
          <w:rFonts w:ascii="Arial" w:hAnsi="Arial" w:cs="Arial"/>
          <w:color w:val="FF0000"/>
        </w:rPr>
        <w:t>..</w:t>
      </w:r>
      <w:r w:rsidRPr="00BB31D4">
        <w:rPr>
          <w:rFonts w:ascii="Arial" w:hAnsi="Arial" w:cs="Arial"/>
          <w:color w:val="FF0000"/>
        </w:rPr>
        <w:t>.</w:t>
      </w:r>
      <w:proofErr w:type="gramEnd"/>
    </w:p>
    <w:p w14:paraId="135BFBC1" w14:textId="77777777" w:rsidR="0049298D" w:rsidRPr="001E5231" w:rsidRDefault="0049298D" w:rsidP="0049298D">
      <w:pPr>
        <w:numPr>
          <w:ilvl w:val="0"/>
          <w:numId w:val="5"/>
        </w:numPr>
        <w:spacing w:after="120"/>
        <w:jc w:val="both"/>
        <w:rPr>
          <w:rFonts w:ascii="Arial" w:hAnsi="Arial" w:cs="Arial"/>
        </w:rPr>
      </w:pPr>
      <w:r w:rsidRPr="001E5231">
        <w:rPr>
          <w:rFonts w:ascii="Arial" w:hAnsi="Arial" w:cs="Arial"/>
        </w:rPr>
        <w:t>Příjemce prohlašuje, že přijetí dotace a uzavření této smlouvy bylo schváleno příslušným orgánem příjemce. Doložka o této skutečnosti je ke smlouvě připojena v samostatném souboru.</w:t>
      </w:r>
    </w:p>
    <w:p w14:paraId="4AD5DD33" w14:textId="77777777" w:rsidR="0049298D" w:rsidRPr="001E5231" w:rsidRDefault="0049298D" w:rsidP="0049298D">
      <w:pPr>
        <w:tabs>
          <w:tab w:val="left" w:pos="4536"/>
        </w:tabs>
        <w:spacing w:before="840"/>
        <w:rPr>
          <w:rFonts w:ascii="Arial" w:hAnsi="Arial" w:cs="Arial"/>
        </w:rPr>
      </w:pPr>
      <w:r w:rsidRPr="001E5231">
        <w:rPr>
          <w:rFonts w:ascii="Arial" w:hAnsi="Arial" w:cs="Arial"/>
        </w:rPr>
        <w:t>Tato smlouva je uzavřena v elektronické podobě, tj. elektronicky podepsána oprávněnými zástupci smluvních stran s doručením návrhu smlouvy a jeho akceptace prostřednictvím datových schránek smluvních stran.</w:t>
      </w:r>
    </w:p>
    <w:p w14:paraId="0993CF50" w14:textId="77777777" w:rsidR="0049298D" w:rsidRPr="001E5231" w:rsidRDefault="0049298D" w:rsidP="0049298D">
      <w:pPr>
        <w:autoSpaceDE w:val="0"/>
        <w:autoSpaceDN w:val="0"/>
        <w:adjustRightInd w:val="0"/>
        <w:rPr>
          <w:rFonts w:ascii="Arial" w:hAnsi="Arial" w:cs="Arial"/>
          <w:color w:val="000000"/>
        </w:rPr>
      </w:pPr>
    </w:p>
    <w:p w14:paraId="0684E51E" w14:textId="77777777" w:rsidR="0049298D" w:rsidRDefault="0049298D" w:rsidP="0049298D"/>
    <w:p w14:paraId="33565417" w14:textId="77777777" w:rsidR="0049298D" w:rsidRPr="00873FE3" w:rsidRDefault="0049298D" w:rsidP="0049298D"/>
    <w:p w14:paraId="5B3FEB90" w14:textId="69C66D48" w:rsidR="00461FF4" w:rsidRDefault="00461FF4" w:rsidP="001B5A35">
      <w:pPr>
        <w:widowControl w:val="0"/>
        <w:spacing w:after="120"/>
        <w:rPr>
          <w:rFonts w:ascii="Arial" w:hAnsi="Arial" w:cs="Arial"/>
          <w:b/>
          <w:bCs/>
          <w:lang w:eastAsia="en-US"/>
        </w:rPr>
      </w:pPr>
    </w:p>
    <w:p w14:paraId="48C1CB7E" w14:textId="77777777" w:rsidR="00461FF4" w:rsidRPr="00461FF4" w:rsidRDefault="00461FF4" w:rsidP="00461FF4">
      <w:pPr>
        <w:rPr>
          <w:rFonts w:ascii="Arial" w:hAnsi="Arial" w:cs="Arial"/>
          <w:lang w:eastAsia="en-US"/>
        </w:rPr>
      </w:pPr>
    </w:p>
    <w:p w14:paraId="528BD52E" w14:textId="77777777" w:rsidR="00461FF4" w:rsidRPr="00461FF4" w:rsidRDefault="00461FF4" w:rsidP="00461FF4">
      <w:pPr>
        <w:rPr>
          <w:rFonts w:ascii="Arial" w:hAnsi="Arial" w:cs="Arial"/>
          <w:lang w:eastAsia="en-US"/>
        </w:rPr>
      </w:pPr>
    </w:p>
    <w:p w14:paraId="5A83E83E" w14:textId="77777777" w:rsidR="00461FF4" w:rsidRPr="00461FF4" w:rsidRDefault="00461FF4" w:rsidP="00461FF4">
      <w:pPr>
        <w:rPr>
          <w:rFonts w:ascii="Arial" w:hAnsi="Arial" w:cs="Arial"/>
          <w:lang w:eastAsia="en-US"/>
        </w:rPr>
      </w:pPr>
    </w:p>
    <w:p w14:paraId="47BB98EE" w14:textId="77777777" w:rsidR="00461FF4" w:rsidRPr="00461FF4" w:rsidRDefault="00461FF4" w:rsidP="00461FF4">
      <w:pPr>
        <w:rPr>
          <w:rFonts w:ascii="Arial" w:hAnsi="Arial" w:cs="Arial"/>
          <w:lang w:eastAsia="en-US"/>
        </w:rPr>
      </w:pPr>
    </w:p>
    <w:p w14:paraId="6A22F883" w14:textId="77777777" w:rsidR="00461FF4" w:rsidRPr="00461FF4" w:rsidRDefault="00461FF4" w:rsidP="00461FF4">
      <w:pPr>
        <w:rPr>
          <w:rFonts w:ascii="Arial" w:hAnsi="Arial" w:cs="Arial"/>
          <w:lang w:eastAsia="en-US"/>
        </w:rPr>
      </w:pPr>
    </w:p>
    <w:p w14:paraId="7922CFD4" w14:textId="77777777" w:rsidR="00461FF4" w:rsidRPr="00461FF4" w:rsidRDefault="00461FF4" w:rsidP="00461FF4">
      <w:pPr>
        <w:rPr>
          <w:rFonts w:ascii="Arial" w:hAnsi="Arial" w:cs="Arial"/>
          <w:lang w:eastAsia="en-US"/>
        </w:rPr>
      </w:pPr>
    </w:p>
    <w:p w14:paraId="5DC464DA" w14:textId="77777777" w:rsidR="00461FF4" w:rsidRPr="00461FF4" w:rsidRDefault="00461FF4" w:rsidP="00461FF4">
      <w:pPr>
        <w:rPr>
          <w:rFonts w:ascii="Arial" w:hAnsi="Arial" w:cs="Arial"/>
          <w:lang w:eastAsia="en-US"/>
        </w:rPr>
      </w:pPr>
    </w:p>
    <w:p w14:paraId="75CC1AE5" w14:textId="77777777" w:rsidR="00461FF4" w:rsidRPr="00461FF4" w:rsidRDefault="00461FF4" w:rsidP="00461FF4">
      <w:pPr>
        <w:rPr>
          <w:rFonts w:ascii="Arial" w:hAnsi="Arial" w:cs="Arial"/>
          <w:lang w:eastAsia="en-US"/>
        </w:rPr>
      </w:pPr>
    </w:p>
    <w:p w14:paraId="129CB8B0" w14:textId="77777777" w:rsidR="00461FF4" w:rsidRPr="00461FF4" w:rsidRDefault="00461FF4" w:rsidP="00461FF4">
      <w:pPr>
        <w:rPr>
          <w:rFonts w:ascii="Arial" w:hAnsi="Arial" w:cs="Arial"/>
          <w:lang w:eastAsia="en-US"/>
        </w:rPr>
      </w:pPr>
    </w:p>
    <w:p w14:paraId="5E52AFB0" w14:textId="77777777" w:rsidR="00461FF4" w:rsidRPr="00461FF4" w:rsidRDefault="00461FF4" w:rsidP="00461FF4">
      <w:pPr>
        <w:rPr>
          <w:rFonts w:ascii="Arial" w:hAnsi="Arial" w:cs="Arial"/>
          <w:lang w:eastAsia="en-US"/>
        </w:rPr>
      </w:pPr>
    </w:p>
    <w:p w14:paraId="7C5B42FC" w14:textId="7F552981" w:rsidR="00461FF4" w:rsidRDefault="00461FF4" w:rsidP="00461FF4">
      <w:pPr>
        <w:rPr>
          <w:rFonts w:ascii="Arial" w:hAnsi="Arial" w:cs="Arial"/>
          <w:lang w:eastAsia="en-US"/>
        </w:rPr>
      </w:pPr>
    </w:p>
    <w:p w14:paraId="012643CF" w14:textId="32B98234" w:rsidR="00461FF4" w:rsidRDefault="00461FF4" w:rsidP="00461FF4">
      <w:pPr>
        <w:rPr>
          <w:rFonts w:ascii="Arial" w:hAnsi="Arial" w:cs="Arial"/>
          <w:lang w:eastAsia="en-US"/>
        </w:rPr>
      </w:pPr>
    </w:p>
    <w:p w14:paraId="11C4E1F4" w14:textId="6B7998F9" w:rsidR="001B5A35" w:rsidRPr="00461FF4" w:rsidRDefault="00461FF4" w:rsidP="00461FF4">
      <w:pPr>
        <w:tabs>
          <w:tab w:val="left" w:pos="3735"/>
        </w:tabs>
        <w:rPr>
          <w:rFonts w:ascii="Arial" w:hAnsi="Arial" w:cs="Arial"/>
          <w:lang w:eastAsia="en-US"/>
        </w:rPr>
      </w:pPr>
      <w:r>
        <w:rPr>
          <w:rFonts w:ascii="Arial" w:hAnsi="Arial" w:cs="Arial"/>
          <w:lang w:eastAsia="en-US"/>
        </w:rPr>
        <w:tab/>
      </w:r>
    </w:p>
    <w:sectPr w:rsidR="001B5A35" w:rsidRPr="00461FF4" w:rsidSect="002571C8">
      <w:footerReference w:type="default" r:id="rId8"/>
      <w:pgSz w:w="11906" w:h="16838"/>
      <w:pgMar w:top="1417" w:right="1417" w:bottom="1417" w:left="1417"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17FEC" w14:textId="77777777" w:rsidR="00AC11FE" w:rsidRDefault="00AC11FE" w:rsidP="006901ED">
      <w:r>
        <w:separator/>
      </w:r>
    </w:p>
  </w:endnote>
  <w:endnote w:type="continuationSeparator" w:id="0">
    <w:p w14:paraId="72C92AAF" w14:textId="77777777" w:rsidR="00AC11FE" w:rsidRDefault="00AC11FE" w:rsidP="00690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682250"/>
      <w:docPartObj>
        <w:docPartGallery w:val="Page Numbers (Bottom of Page)"/>
        <w:docPartUnique/>
      </w:docPartObj>
    </w:sdtPr>
    <w:sdtEndPr/>
    <w:sdtContent>
      <w:p w14:paraId="72C2CD37" w14:textId="36E56355" w:rsidR="006901ED" w:rsidRPr="00D82D9E" w:rsidRDefault="00A2562E" w:rsidP="006901ED">
        <w:pPr>
          <w:pStyle w:val="Zpat"/>
          <w:rPr>
            <w:rFonts w:ascii="Arial" w:hAnsi="Arial" w:cs="Arial"/>
            <w:i/>
            <w:sz w:val="20"/>
            <w:szCs w:val="20"/>
          </w:rPr>
        </w:pPr>
        <w:r>
          <w:rPr>
            <w:rFonts w:ascii="Arial" w:hAnsi="Arial" w:cs="Arial"/>
            <w:i/>
            <w:sz w:val="20"/>
            <w:szCs w:val="20"/>
          </w:rPr>
          <w:t>Zastupitelstvo</w:t>
        </w:r>
        <w:r w:rsidR="006901ED" w:rsidRPr="00D82D9E">
          <w:rPr>
            <w:rFonts w:ascii="Arial" w:hAnsi="Arial" w:cs="Arial"/>
            <w:i/>
            <w:sz w:val="20"/>
            <w:szCs w:val="20"/>
          </w:rPr>
          <w:t xml:space="preserve"> Olomouck</w:t>
        </w:r>
        <w:r w:rsidR="006901ED">
          <w:rPr>
            <w:rFonts w:ascii="Arial" w:hAnsi="Arial" w:cs="Arial"/>
            <w:i/>
            <w:sz w:val="20"/>
            <w:szCs w:val="20"/>
          </w:rPr>
          <w:t xml:space="preserve">ého kraje </w:t>
        </w:r>
        <w:r>
          <w:rPr>
            <w:rFonts w:ascii="Arial" w:hAnsi="Arial" w:cs="Arial"/>
            <w:i/>
            <w:sz w:val="20"/>
            <w:szCs w:val="20"/>
          </w:rPr>
          <w:t>12</w:t>
        </w:r>
        <w:r w:rsidR="00CD04D6">
          <w:rPr>
            <w:rFonts w:ascii="Arial" w:hAnsi="Arial" w:cs="Arial"/>
            <w:i/>
            <w:sz w:val="20"/>
            <w:szCs w:val="20"/>
          </w:rPr>
          <w:t>. 1</w:t>
        </w:r>
        <w:r>
          <w:rPr>
            <w:rFonts w:ascii="Arial" w:hAnsi="Arial" w:cs="Arial"/>
            <w:i/>
            <w:sz w:val="20"/>
            <w:szCs w:val="20"/>
          </w:rPr>
          <w:t>2</w:t>
        </w:r>
        <w:r w:rsidR="00D748CF">
          <w:rPr>
            <w:rFonts w:ascii="Arial" w:hAnsi="Arial" w:cs="Arial"/>
            <w:i/>
            <w:sz w:val="20"/>
            <w:szCs w:val="20"/>
          </w:rPr>
          <w:t>. 2022</w:t>
        </w:r>
        <w:r w:rsidR="006901ED">
          <w:rPr>
            <w:rFonts w:ascii="Arial" w:hAnsi="Arial" w:cs="Arial"/>
            <w:i/>
            <w:sz w:val="20"/>
            <w:szCs w:val="20"/>
          </w:rPr>
          <w:tab/>
        </w:r>
        <w:r w:rsidR="006901ED">
          <w:rPr>
            <w:rFonts w:ascii="Arial" w:hAnsi="Arial" w:cs="Arial"/>
            <w:i/>
            <w:sz w:val="20"/>
            <w:szCs w:val="20"/>
          </w:rPr>
          <w:tab/>
        </w:r>
        <w:r w:rsidR="006901ED" w:rsidRPr="0077143B">
          <w:rPr>
            <w:rFonts w:ascii="Arial" w:hAnsi="Arial" w:cs="Arial"/>
            <w:i/>
            <w:sz w:val="20"/>
            <w:szCs w:val="20"/>
          </w:rPr>
          <w:t xml:space="preserve">Strana </w:t>
        </w:r>
        <w:r w:rsidR="006901ED" w:rsidRPr="00FD0874">
          <w:rPr>
            <w:rFonts w:ascii="Arial" w:hAnsi="Arial" w:cs="Arial"/>
            <w:i/>
            <w:sz w:val="20"/>
            <w:szCs w:val="20"/>
          </w:rPr>
          <w:fldChar w:fldCharType="begin"/>
        </w:r>
        <w:r w:rsidR="006901ED" w:rsidRPr="00FD0874">
          <w:rPr>
            <w:rFonts w:ascii="Arial" w:hAnsi="Arial" w:cs="Arial"/>
            <w:i/>
            <w:sz w:val="20"/>
            <w:szCs w:val="20"/>
          </w:rPr>
          <w:instrText>PAGE   \* MERGEFORMAT</w:instrText>
        </w:r>
        <w:r w:rsidR="006901ED" w:rsidRPr="00FD0874">
          <w:rPr>
            <w:rFonts w:ascii="Arial" w:hAnsi="Arial" w:cs="Arial"/>
            <w:i/>
            <w:sz w:val="20"/>
            <w:szCs w:val="20"/>
          </w:rPr>
          <w:fldChar w:fldCharType="separate"/>
        </w:r>
        <w:r w:rsidR="002571C8">
          <w:rPr>
            <w:rFonts w:ascii="Arial" w:hAnsi="Arial" w:cs="Arial"/>
            <w:i/>
            <w:noProof/>
            <w:sz w:val="20"/>
            <w:szCs w:val="20"/>
          </w:rPr>
          <w:t>7</w:t>
        </w:r>
        <w:r w:rsidR="006901ED" w:rsidRPr="00FD0874">
          <w:rPr>
            <w:rFonts w:ascii="Arial" w:hAnsi="Arial" w:cs="Arial"/>
            <w:i/>
            <w:sz w:val="20"/>
            <w:szCs w:val="20"/>
          </w:rPr>
          <w:fldChar w:fldCharType="end"/>
        </w:r>
        <w:r w:rsidR="006901ED" w:rsidRPr="0077143B">
          <w:rPr>
            <w:rFonts w:ascii="Arial" w:hAnsi="Arial" w:cs="Arial"/>
            <w:i/>
            <w:sz w:val="20"/>
            <w:szCs w:val="20"/>
          </w:rPr>
          <w:t xml:space="preserve"> (celkem </w:t>
        </w:r>
        <w:r w:rsidR="00D05D03">
          <w:rPr>
            <w:rFonts w:ascii="Arial" w:hAnsi="Arial" w:cs="Arial"/>
            <w:i/>
            <w:sz w:val="20"/>
            <w:szCs w:val="20"/>
          </w:rPr>
          <w:t>10</w:t>
        </w:r>
        <w:r w:rsidR="006901ED" w:rsidRPr="0077143B">
          <w:rPr>
            <w:rFonts w:ascii="Arial" w:hAnsi="Arial" w:cs="Arial"/>
            <w:i/>
            <w:sz w:val="20"/>
            <w:szCs w:val="20"/>
          </w:rPr>
          <w:t>)</w:t>
        </w:r>
      </w:p>
      <w:p w14:paraId="36479996" w14:textId="6029F6D6" w:rsidR="006901ED" w:rsidRPr="00D82D9E" w:rsidRDefault="00A2562E" w:rsidP="006901ED">
        <w:pPr>
          <w:pStyle w:val="Zpat"/>
          <w:rPr>
            <w:rFonts w:ascii="Arial" w:hAnsi="Arial" w:cs="Arial"/>
            <w:i/>
            <w:sz w:val="20"/>
            <w:szCs w:val="20"/>
          </w:rPr>
        </w:pPr>
        <w:r>
          <w:rPr>
            <w:rFonts w:ascii="Arial" w:hAnsi="Arial" w:cs="Arial"/>
            <w:i/>
            <w:sz w:val="20"/>
            <w:szCs w:val="20"/>
          </w:rPr>
          <w:t>39</w:t>
        </w:r>
        <w:r w:rsidR="00D748CF">
          <w:rPr>
            <w:rFonts w:ascii="Arial" w:hAnsi="Arial" w:cs="Arial"/>
            <w:i/>
            <w:sz w:val="20"/>
            <w:szCs w:val="20"/>
          </w:rPr>
          <w:t>.</w:t>
        </w:r>
        <w:r w:rsidR="006901ED" w:rsidRPr="00D82D9E">
          <w:rPr>
            <w:rFonts w:ascii="Arial" w:hAnsi="Arial" w:cs="Arial"/>
            <w:i/>
            <w:sz w:val="20"/>
            <w:szCs w:val="20"/>
          </w:rPr>
          <w:t xml:space="preserve"> – </w:t>
        </w:r>
        <w:r w:rsidR="00D748CF" w:rsidRPr="00D748CF">
          <w:rPr>
            <w:rFonts w:ascii="Arial" w:hAnsi="Arial" w:cs="Arial"/>
            <w:i/>
            <w:sz w:val="20"/>
            <w:szCs w:val="20"/>
          </w:rPr>
          <w:t>Smlouva o poskytnutí individuální dotace mezi Olomouckým krajem a obcí Město Libavá</w:t>
        </w:r>
      </w:p>
      <w:p w14:paraId="73DBEAD4" w14:textId="197D5C9A" w:rsidR="006901ED" w:rsidRPr="00D82D9E" w:rsidRDefault="006901ED" w:rsidP="006901ED">
        <w:pPr>
          <w:pStyle w:val="Zpat"/>
          <w:rPr>
            <w:rFonts w:ascii="Arial" w:hAnsi="Arial" w:cs="Arial"/>
            <w:i/>
            <w:sz w:val="20"/>
            <w:szCs w:val="20"/>
          </w:rPr>
        </w:pPr>
        <w:r w:rsidRPr="00D82D9E">
          <w:rPr>
            <w:rFonts w:ascii="Arial" w:hAnsi="Arial" w:cs="Arial"/>
            <w:i/>
            <w:sz w:val="20"/>
            <w:szCs w:val="20"/>
          </w:rPr>
          <w:t>Pří</w:t>
        </w:r>
        <w:r>
          <w:rPr>
            <w:rFonts w:ascii="Arial" w:hAnsi="Arial" w:cs="Arial"/>
            <w:i/>
            <w:sz w:val="20"/>
            <w:szCs w:val="20"/>
          </w:rPr>
          <w:t>loha č.</w:t>
        </w:r>
        <w:r w:rsidR="00CD04D6">
          <w:rPr>
            <w:rFonts w:ascii="Arial" w:hAnsi="Arial" w:cs="Arial"/>
            <w:i/>
            <w:sz w:val="20"/>
            <w:szCs w:val="20"/>
          </w:rPr>
          <w:t xml:space="preserve"> </w:t>
        </w:r>
        <w:r w:rsidR="00892499">
          <w:rPr>
            <w:rFonts w:ascii="Arial" w:hAnsi="Arial" w:cs="Arial"/>
            <w:i/>
            <w:sz w:val="20"/>
            <w:szCs w:val="20"/>
          </w:rPr>
          <w:t>02</w:t>
        </w:r>
        <w:r w:rsidR="00A2562E">
          <w:rPr>
            <w:rFonts w:ascii="Arial" w:hAnsi="Arial" w:cs="Arial"/>
            <w:i/>
            <w:sz w:val="20"/>
            <w:szCs w:val="20"/>
          </w:rPr>
          <w:t xml:space="preserve"> usnesení</w:t>
        </w:r>
        <w:r>
          <w:rPr>
            <w:rFonts w:ascii="Arial" w:hAnsi="Arial" w:cs="Arial"/>
            <w:i/>
            <w:sz w:val="20"/>
            <w:szCs w:val="20"/>
          </w:rPr>
          <w:t xml:space="preserve"> – </w:t>
        </w:r>
        <w:r w:rsidR="00674D86">
          <w:rPr>
            <w:rFonts w:ascii="Arial" w:hAnsi="Arial" w:cs="Arial"/>
            <w:i/>
            <w:sz w:val="20"/>
            <w:szCs w:val="20"/>
          </w:rPr>
          <w:t>VPS mezi OK a obcí m</w:t>
        </w:r>
        <w:r w:rsidR="00D748CF">
          <w:rPr>
            <w:rFonts w:ascii="Arial" w:hAnsi="Arial" w:cs="Arial"/>
            <w:i/>
            <w:sz w:val="20"/>
            <w:szCs w:val="20"/>
          </w:rPr>
          <w:t>ěsto Libavá</w:t>
        </w:r>
      </w:p>
      <w:p w14:paraId="56CCB0F7" w14:textId="77777777" w:rsidR="006901ED" w:rsidRDefault="00AC11FE" w:rsidP="006901ED">
        <w:pPr>
          <w:pStyle w:val="Zpat"/>
          <w:jc w:val="center"/>
        </w:pPr>
      </w:p>
    </w:sdtContent>
  </w:sdt>
  <w:p w14:paraId="05ADC794" w14:textId="77777777" w:rsidR="006901ED" w:rsidRDefault="006901E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76AF4" w14:textId="77777777" w:rsidR="00AC11FE" w:rsidRDefault="00AC11FE" w:rsidP="006901ED">
      <w:r>
        <w:separator/>
      </w:r>
    </w:p>
  </w:footnote>
  <w:footnote w:type="continuationSeparator" w:id="0">
    <w:p w14:paraId="7BA35DC6" w14:textId="77777777" w:rsidR="00AC11FE" w:rsidRDefault="00AC11FE" w:rsidP="00690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1F676D7E"/>
    <w:multiLevelType w:val="hybridMultilevel"/>
    <w:tmpl w:val="07D268B0"/>
    <w:lvl w:ilvl="0" w:tplc="883CCAEA">
      <w:start w:val="1"/>
      <w:numFmt w:val="decimal"/>
      <w:lvlText w:val="%1."/>
      <w:lvlJc w:val="left"/>
      <w:pPr>
        <w:ind w:left="720" w:hanging="360"/>
      </w:pPr>
      <w:rPr>
        <w:i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41923E87"/>
    <w:multiLevelType w:val="hybridMultilevel"/>
    <w:tmpl w:val="9A7E5008"/>
    <w:lvl w:ilvl="0" w:tplc="0405000F">
      <w:start w:val="7"/>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0376F6A"/>
    <w:multiLevelType w:val="hybridMultilevel"/>
    <w:tmpl w:val="6FF20B7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67A33834"/>
    <w:multiLevelType w:val="hybridMultilevel"/>
    <w:tmpl w:val="07D268B0"/>
    <w:lvl w:ilvl="0" w:tplc="883CCAEA">
      <w:start w:val="1"/>
      <w:numFmt w:val="decimal"/>
      <w:lvlText w:val="%1."/>
      <w:lvlJc w:val="left"/>
      <w:pPr>
        <w:ind w:left="720" w:hanging="360"/>
      </w:pPr>
      <w:rPr>
        <w:i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754C246E"/>
    <w:multiLevelType w:val="hybridMultilevel"/>
    <w:tmpl w:val="C4B60AB4"/>
    <w:lvl w:ilvl="0" w:tplc="CCEC117A">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6BB2F59"/>
    <w:multiLevelType w:val="hybridMultilevel"/>
    <w:tmpl w:val="FB78CEDA"/>
    <w:lvl w:ilvl="0" w:tplc="5AEC8AF2">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55B"/>
    <w:rsid w:val="00002927"/>
    <w:rsid w:val="00026192"/>
    <w:rsid w:val="00090276"/>
    <w:rsid w:val="0009529A"/>
    <w:rsid w:val="00097DDA"/>
    <w:rsid w:val="000A655B"/>
    <w:rsid w:val="000F6814"/>
    <w:rsid w:val="000F6EA9"/>
    <w:rsid w:val="0016092A"/>
    <w:rsid w:val="001710AB"/>
    <w:rsid w:val="001B5A35"/>
    <w:rsid w:val="001E5797"/>
    <w:rsid w:val="0020414C"/>
    <w:rsid w:val="002103B3"/>
    <w:rsid w:val="002571C8"/>
    <w:rsid w:val="0026139A"/>
    <w:rsid w:val="002B11B8"/>
    <w:rsid w:val="00305755"/>
    <w:rsid w:val="00313264"/>
    <w:rsid w:val="00336296"/>
    <w:rsid w:val="003422C1"/>
    <w:rsid w:val="003434A5"/>
    <w:rsid w:val="003456A9"/>
    <w:rsid w:val="003A6A48"/>
    <w:rsid w:val="003E5C32"/>
    <w:rsid w:val="00403A5A"/>
    <w:rsid w:val="00437CA1"/>
    <w:rsid w:val="00461FF4"/>
    <w:rsid w:val="0049298D"/>
    <w:rsid w:val="004A1E4A"/>
    <w:rsid w:val="004C30A3"/>
    <w:rsid w:val="004C7551"/>
    <w:rsid w:val="004E183C"/>
    <w:rsid w:val="004E74F3"/>
    <w:rsid w:val="0050120E"/>
    <w:rsid w:val="00557434"/>
    <w:rsid w:val="00562125"/>
    <w:rsid w:val="00596D3B"/>
    <w:rsid w:val="005978C6"/>
    <w:rsid w:val="005B73A0"/>
    <w:rsid w:val="005E29F1"/>
    <w:rsid w:val="00664F06"/>
    <w:rsid w:val="00674D86"/>
    <w:rsid w:val="00682E75"/>
    <w:rsid w:val="006901ED"/>
    <w:rsid w:val="006F36E1"/>
    <w:rsid w:val="006F53F8"/>
    <w:rsid w:val="00722B44"/>
    <w:rsid w:val="007A7BD5"/>
    <w:rsid w:val="007D04A3"/>
    <w:rsid w:val="007F0F60"/>
    <w:rsid w:val="007F18C3"/>
    <w:rsid w:val="00801733"/>
    <w:rsid w:val="008806F0"/>
    <w:rsid w:val="00892499"/>
    <w:rsid w:val="008B58FE"/>
    <w:rsid w:val="00903179"/>
    <w:rsid w:val="00951FC7"/>
    <w:rsid w:val="009B45B1"/>
    <w:rsid w:val="009C2C18"/>
    <w:rsid w:val="009C5B55"/>
    <w:rsid w:val="009D5B98"/>
    <w:rsid w:val="009E1C3A"/>
    <w:rsid w:val="00A2562E"/>
    <w:rsid w:val="00A748A2"/>
    <w:rsid w:val="00A828B9"/>
    <w:rsid w:val="00A82DB1"/>
    <w:rsid w:val="00AA5B02"/>
    <w:rsid w:val="00AC11FE"/>
    <w:rsid w:val="00AE3D5B"/>
    <w:rsid w:val="00B439EE"/>
    <w:rsid w:val="00B75297"/>
    <w:rsid w:val="00BB31D4"/>
    <w:rsid w:val="00BB79CB"/>
    <w:rsid w:val="00BC0787"/>
    <w:rsid w:val="00C32911"/>
    <w:rsid w:val="00CB1055"/>
    <w:rsid w:val="00CD04D6"/>
    <w:rsid w:val="00D05D03"/>
    <w:rsid w:val="00D631F8"/>
    <w:rsid w:val="00D70D13"/>
    <w:rsid w:val="00D748CF"/>
    <w:rsid w:val="00E66961"/>
    <w:rsid w:val="00EA43CA"/>
    <w:rsid w:val="00EC55B2"/>
    <w:rsid w:val="00ED265A"/>
    <w:rsid w:val="00ED7936"/>
    <w:rsid w:val="00F048B1"/>
    <w:rsid w:val="00F57538"/>
    <w:rsid w:val="00F73063"/>
    <w:rsid w:val="00F843B7"/>
    <w:rsid w:val="00F962E9"/>
    <w:rsid w:val="00FA1C16"/>
    <w:rsid w:val="00FC6CEF"/>
    <w:rsid w:val="00FF14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E733E"/>
  <w15:chartTrackingRefBased/>
  <w15:docId w15:val="{97789311-31A6-4CC5-961F-0B409734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5A3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B5A35"/>
    <w:pPr>
      <w:ind w:left="720"/>
      <w:contextualSpacing/>
    </w:pPr>
  </w:style>
  <w:style w:type="character" w:customStyle="1" w:styleId="KurzvatextChar">
    <w:name w:val="Kurzíva text Char"/>
    <w:link w:val="Kurzvatext"/>
    <w:locked/>
    <w:rsid w:val="001B5A35"/>
    <w:rPr>
      <w:rFonts w:ascii="Arial" w:eastAsia="Times New Roman" w:hAnsi="Arial" w:cs="Times New Roman"/>
      <w:i/>
      <w:noProof/>
      <w:sz w:val="24"/>
      <w:szCs w:val="24"/>
      <w:lang w:eastAsia="cs-CZ"/>
    </w:rPr>
  </w:style>
  <w:style w:type="paragraph" w:customStyle="1" w:styleId="Kurzvatext">
    <w:name w:val="Kurzíva text"/>
    <w:basedOn w:val="Normln"/>
    <w:link w:val="KurzvatextChar"/>
    <w:rsid w:val="001B5A35"/>
    <w:pPr>
      <w:widowControl w:val="0"/>
      <w:spacing w:after="120"/>
      <w:jc w:val="both"/>
    </w:pPr>
    <w:rPr>
      <w:rFonts w:ascii="Arial" w:hAnsi="Arial"/>
      <w:i/>
      <w:noProof/>
    </w:rPr>
  </w:style>
  <w:style w:type="paragraph" w:styleId="Zhlav">
    <w:name w:val="header"/>
    <w:basedOn w:val="Normln"/>
    <w:link w:val="ZhlavChar"/>
    <w:uiPriority w:val="99"/>
    <w:unhideWhenUsed/>
    <w:rsid w:val="006901ED"/>
    <w:pPr>
      <w:tabs>
        <w:tab w:val="center" w:pos="4536"/>
        <w:tab w:val="right" w:pos="9072"/>
      </w:tabs>
    </w:pPr>
  </w:style>
  <w:style w:type="character" w:customStyle="1" w:styleId="ZhlavChar">
    <w:name w:val="Záhlaví Char"/>
    <w:basedOn w:val="Standardnpsmoodstavce"/>
    <w:link w:val="Zhlav"/>
    <w:uiPriority w:val="99"/>
    <w:rsid w:val="006901E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901ED"/>
    <w:pPr>
      <w:tabs>
        <w:tab w:val="center" w:pos="4536"/>
        <w:tab w:val="right" w:pos="9072"/>
      </w:tabs>
    </w:pPr>
  </w:style>
  <w:style w:type="character" w:customStyle="1" w:styleId="ZpatChar">
    <w:name w:val="Zápatí Char"/>
    <w:basedOn w:val="Standardnpsmoodstavce"/>
    <w:link w:val="Zpat"/>
    <w:uiPriority w:val="99"/>
    <w:rsid w:val="006901ED"/>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AE3D5B"/>
    <w:rPr>
      <w:sz w:val="16"/>
      <w:szCs w:val="16"/>
    </w:rPr>
  </w:style>
  <w:style w:type="paragraph" w:styleId="Textkomente">
    <w:name w:val="annotation text"/>
    <w:basedOn w:val="Normln"/>
    <w:link w:val="TextkomenteChar"/>
    <w:uiPriority w:val="99"/>
    <w:semiHidden/>
    <w:unhideWhenUsed/>
    <w:rsid w:val="00AE3D5B"/>
    <w:rPr>
      <w:sz w:val="20"/>
      <w:szCs w:val="20"/>
    </w:rPr>
  </w:style>
  <w:style w:type="character" w:customStyle="1" w:styleId="TextkomenteChar">
    <w:name w:val="Text komentáře Char"/>
    <w:basedOn w:val="Standardnpsmoodstavce"/>
    <w:link w:val="Textkomente"/>
    <w:uiPriority w:val="99"/>
    <w:semiHidden/>
    <w:rsid w:val="00AE3D5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E3D5B"/>
    <w:rPr>
      <w:b/>
      <w:bCs/>
    </w:rPr>
  </w:style>
  <w:style w:type="character" w:customStyle="1" w:styleId="PedmtkomenteChar">
    <w:name w:val="Předmět komentáře Char"/>
    <w:basedOn w:val="TextkomenteChar"/>
    <w:link w:val="Pedmtkomente"/>
    <w:uiPriority w:val="99"/>
    <w:semiHidden/>
    <w:rsid w:val="00AE3D5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E3D5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E3D5B"/>
    <w:rPr>
      <w:rFonts w:ascii="Segoe UI" w:eastAsia="Times New Roman" w:hAnsi="Segoe UI" w:cs="Segoe UI"/>
      <w:sz w:val="18"/>
      <w:szCs w:val="18"/>
      <w:lang w:eastAsia="cs-CZ"/>
    </w:rPr>
  </w:style>
  <w:style w:type="paragraph" w:styleId="Revize">
    <w:name w:val="Revision"/>
    <w:hidden/>
    <w:uiPriority w:val="99"/>
    <w:semiHidden/>
    <w:rsid w:val="003E5C32"/>
    <w:pPr>
      <w:spacing w:after="0" w:line="240" w:lineRule="auto"/>
    </w:pPr>
    <w:rPr>
      <w:rFonts w:ascii="Times New Roman" w:eastAsia="Times New Roman" w:hAnsi="Times New Roman" w:cs="Times New Roman"/>
      <w:sz w:val="24"/>
      <w:szCs w:val="24"/>
      <w:lang w:eastAsia="cs-CZ"/>
    </w:rPr>
  </w:style>
  <w:style w:type="paragraph" w:customStyle="1" w:styleId="Default">
    <w:name w:val="Default"/>
    <w:rsid w:val="0049298D"/>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4929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56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lkraj.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1857</Words>
  <Characters>10963</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Mrňková Jana</dc:creator>
  <cp:keywords/>
  <dc:description/>
  <cp:lastModifiedBy>Soušková Sabina</cp:lastModifiedBy>
  <cp:revision>4</cp:revision>
  <dcterms:created xsi:type="dcterms:W3CDTF">2022-11-23T07:09:00Z</dcterms:created>
  <dcterms:modified xsi:type="dcterms:W3CDTF">2022-11-23T07:18:00Z</dcterms:modified>
</cp:coreProperties>
</file>