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ACB92BF" w:rsidR="00A97BE7" w:rsidRPr="0041563E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4156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4156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4156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4156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4156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4156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41563E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0647E7" w:rsidRPr="004156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 w:rsidRPr="0041563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Pr="0041563E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1563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41563E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1563E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41563E">
        <w:rPr>
          <w:rFonts w:ascii="Arial" w:eastAsia="Times New Roman" w:hAnsi="Arial" w:cs="Arial"/>
          <w:lang w:eastAsia="cs-CZ"/>
        </w:rPr>
        <w:t>500/2004</w:t>
      </w:r>
      <w:r w:rsidRPr="0041563E">
        <w:rPr>
          <w:rFonts w:ascii="Arial" w:eastAsia="Times New Roman" w:hAnsi="Arial" w:cs="Arial"/>
          <w:lang w:eastAsia="cs-CZ"/>
        </w:rPr>
        <w:t> </w:t>
      </w:r>
      <w:r w:rsidR="009A3DA5" w:rsidRPr="0041563E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41563E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41563E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4156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41563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41563E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4156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41563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4156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F2C79CC" w14:textId="144FD94F" w:rsidR="006960EB" w:rsidRPr="0041563E" w:rsidRDefault="00E62519" w:rsidP="006960EB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960EB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0E4F2F">
        <w:rPr>
          <w:rFonts w:ascii="Arial" w:hAnsi="Arial" w:cs="Arial"/>
          <w:sz w:val="24"/>
          <w:szCs w:val="24"/>
        </w:rPr>
        <w:t>členem R</w:t>
      </w:r>
      <w:r w:rsidR="006960EB" w:rsidRPr="0041563E">
        <w:rPr>
          <w:rFonts w:ascii="Arial" w:hAnsi="Arial" w:cs="Arial"/>
          <w:sz w:val="24"/>
          <w:szCs w:val="24"/>
        </w:rPr>
        <w:t xml:space="preserve">ady Olomouckého kraje, </w:t>
      </w:r>
    </w:p>
    <w:p w14:paraId="084954AA" w14:textId="77777777" w:rsidR="006960EB" w:rsidRPr="0041563E" w:rsidRDefault="006960EB" w:rsidP="006960EB">
      <w:pPr>
        <w:spacing w:after="120"/>
        <w:rPr>
          <w:rFonts w:ascii="Arial" w:hAnsi="Arial" w:cs="Arial"/>
          <w:sz w:val="24"/>
          <w:szCs w:val="24"/>
        </w:rPr>
      </w:pPr>
      <w:r w:rsidRPr="0041563E">
        <w:rPr>
          <w:rFonts w:ascii="Arial" w:hAnsi="Arial" w:cs="Arial"/>
          <w:sz w:val="24"/>
          <w:szCs w:val="24"/>
        </w:rPr>
        <w:t>na základě pověření hejtmana Olomouckého kraje ze dne 30. 10. 2020</w:t>
      </w:r>
    </w:p>
    <w:p w14:paraId="6F420F65" w14:textId="5D022F44" w:rsidR="00E62519" w:rsidRPr="0041563E" w:rsidRDefault="006960EB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27-4228330207/0100, Komerční banka, a.s., Olomouc </w:t>
      </w:r>
      <w:r w:rsidR="00E62519" w:rsidRPr="0041563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41563E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1563E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41563E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41563E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4156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4156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4156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4156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41563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4156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1563E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1563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4156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4156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41563E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41563E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5CE76857" w:rsidR="00E62519" w:rsidRPr="0041563E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1563E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6C6488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2E099A0" w14:textId="77777777" w:rsidR="00E62519" w:rsidRPr="0041563E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4156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41563E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41563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41563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255BC" w:rsidRPr="004156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7BED351" w:rsidR="009A3DA5" w:rsidRPr="0041563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41563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41563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66E94D3A" w:rsidR="009A3DA5" w:rsidRPr="0041563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6960EB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3153BC" w:rsidRPr="0041563E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6960EB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6960EB" w:rsidRPr="0041563E">
        <w:rPr>
          <w:rStyle w:val="Tunznak"/>
          <w:szCs w:val="24"/>
        </w:rPr>
        <w:t>zák. č. 20/1987 Sb., o státní památkové péči</w:t>
      </w:r>
      <w:r w:rsidR="006960EB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3153BC" w:rsidRPr="0041563E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6960EB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 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 </w:t>
      </w:r>
      <w:r w:rsidR="00441C3C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41C3C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99FFD00" w14:textId="77777777" w:rsidR="0041563E" w:rsidRPr="0041563E" w:rsidRDefault="009A3DA5" w:rsidP="0041563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4156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E4A644A" w14:textId="77777777" w:rsidR="00E279DA" w:rsidRPr="00E279DA" w:rsidRDefault="00E279DA" w:rsidP="00E279DA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279D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6F6647F" w14:textId="77777777" w:rsidR="00E279DA" w:rsidRPr="00E279DA" w:rsidRDefault="00E279DA" w:rsidP="00E279D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279D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357A081F" w14:textId="77777777" w:rsidR="00E279DA" w:rsidRPr="00E279DA" w:rsidRDefault="00E279DA" w:rsidP="00E279D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279D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259658A4" w14:textId="77777777" w:rsidR="00E279DA" w:rsidRPr="00E279DA" w:rsidRDefault="00E279DA" w:rsidP="00E279D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279DA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13D35B14" w14:textId="7B08C63A" w:rsidR="00E279DA" w:rsidRPr="00E279DA" w:rsidRDefault="00E279DA" w:rsidP="00E279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279DA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E279DA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E279DA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20D4F20" w14:textId="77777777" w:rsidR="00E279DA" w:rsidRPr="00E279DA" w:rsidRDefault="00E279DA" w:rsidP="00E279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279D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3A15FE1" w14:textId="77777777" w:rsidR="00E279DA" w:rsidRPr="00E279DA" w:rsidRDefault="00E279DA" w:rsidP="00E279DA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279DA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bookmarkStart w:id="0" w:name="_GoBack"/>
      <w:bookmarkEnd w:id="0"/>
      <w:r w:rsidRPr="00E279DA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40E83219" w14:textId="77777777" w:rsidR="00E279DA" w:rsidRPr="0093448E" w:rsidRDefault="00E279DA" w:rsidP="00E279DA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26D6D07C" w14:textId="77777777" w:rsidR="00E279DA" w:rsidRPr="0093448E" w:rsidRDefault="00E279DA" w:rsidP="00E279DA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1C7C2D4" w14:textId="77777777" w:rsidR="00E279DA" w:rsidRPr="006960EB" w:rsidRDefault="00E279DA" w:rsidP="00E279DA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C9258D8" w14:textId="77777777" w:rsidR="009A3DA5" w:rsidRPr="0041563E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33C0B01" w:rsidR="00001074" w:rsidRPr="0041563E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</w:t>
      </w:r>
      <w:r w:rsidR="001C4507" w:rsidRPr="0041563E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6960EB" w:rsidRPr="0041563E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2023</w:t>
      </w:r>
      <w:r w:rsidR="00ED68BB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6960EB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Obnova </w:t>
      </w:r>
      <w:r w:rsidR="003153BC" w:rsidRPr="0041563E">
        <w:rPr>
          <w:rFonts w:ascii="Arial" w:eastAsia="Times New Roman" w:hAnsi="Arial" w:cs="Arial"/>
          <w:sz w:val="24"/>
          <w:szCs w:val="24"/>
          <w:lang w:eastAsia="cs-CZ"/>
        </w:rPr>
        <w:t>nemovitostí, které nejsou kulturní památkou, nacházejících se na území památkových rezervací a památkových zón</w:t>
      </w:r>
      <w:r w:rsidR="00915554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a jejich ochranných pásem</w:t>
      </w:r>
      <w:r w:rsidR="00ED68BB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41563E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5D3D554" w14:textId="77777777" w:rsidR="00331482" w:rsidRPr="0041563E" w:rsidRDefault="009A3DA5" w:rsidP="00331482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41563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415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2028D8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10.5 </w:t>
      </w:r>
      <w:r w:rsidR="00F055DC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Pravidel)</w:t>
      </w:r>
      <w:r w:rsidR="00271616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331482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31482" w:rsidRPr="0041563E">
        <w:rPr>
          <w:rFonts w:ascii="Arial" w:hAnsi="Arial" w:cs="Arial"/>
          <w:i/>
          <w:iCs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6D421C15" w14:textId="77777777" w:rsidR="003E0A08" w:rsidRPr="0041563E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F" w14:textId="4037092C" w:rsidR="009A3DA5" w:rsidRPr="0041563E" w:rsidRDefault="009A3DA5" w:rsidP="0041563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6A126C88" w:rsidR="001455CD" w:rsidRPr="0041563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41563E">
        <w:rPr>
          <w:rFonts w:ascii="Arial" w:hAnsi="Arial" w:cs="Arial"/>
          <w:bCs/>
          <w:sz w:val="24"/>
          <w:szCs w:val="24"/>
          <w:lang w:eastAsia="cs-CZ"/>
        </w:rPr>
        <w:t>,</w:t>
      </w:r>
      <w:r w:rsidRPr="0041563E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41563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41563E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41563E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41563E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41563E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41563E">
        <w:rPr>
          <w:rFonts w:ascii="Arial" w:hAnsi="Arial" w:cs="Arial"/>
          <w:bCs/>
          <w:sz w:val="24"/>
          <w:szCs w:val="24"/>
          <w:lang w:eastAsia="cs-CZ"/>
        </w:rPr>
        <w:t>y</w:t>
      </w:r>
      <w:r w:rsidRPr="0041563E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41563E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41563E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41563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41563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41563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41563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41563E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6FDB63E8" w:rsidR="009A3DA5" w:rsidRPr="0041563E" w:rsidRDefault="009A3DA5" w:rsidP="0041563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30D5E" w:rsidRPr="0041563E">
        <w:rPr>
          <w:rFonts w:ascii="Arial" w:eastAsia="Times New Roman" w:hAnsi="Arial" w:cs="Arial"/>
          <w:sz w:val="24"/>
          <w:szCs w:val="24"/>
          <w:lang w:eastAsia="cs-CZ"/>
        </w:rPr>
        <w:t>31. 10.</w:t>
      </w:r>
    </w:p>
    <w:p w14:paraId="3C9258E6" w14:textId="7B335C47" w:rsidR="009A3DA5" w:rsidRPr="0041563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30D5E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A368EF3" w14:textId="658F9C86" w:rsidR="00F30D5E" w:rsidRPr="0041563E" w:rsidRDefault="00701538" w:rsidP="00F30D5E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08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E360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nejméně 50 % z vlastních a jiných zdrojů. Budou-li celkové skutečně vynaložené uznatelné výdaje nižší než celkové předpokládané uznatelné výdaje, </w:t>
      </w:r>
      <w:r w:rsidRPr="00E3608C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E3608C">
        <w:rPr>
          <w:rFonts w:ascii="Arial" w:hAnsi="Arial" w:cs="Arial"/>
          <w:sz w:val="24"/>
          <w:szCs w:val="24"/>
        </w:rPr>
        <w:t>tak, aby výše dotace odpovídala nejvýše 50 %</w:t>
      </w:r>
      <w:r w:rsidRPr="00E3608C">
        <w:rPr>
          <w:rFonts w:ascii="Arial" w:hAnsi="Arial" w:cs="Arial"/>
          <w:bCs/>
          <w:i/>
          <w:sz w:val="24"/>
          <w:szCs w:val="24"/>
        </w:rPr>
        <w:t xml:space="preserve"> </w:t>
      </w:r>
      <w:r w:rsidRPr="00E3608C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Pr="00E3608C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</w:t>
      </w:r>
      <w:r w:rsidR="00F30D5E" w:rsidRPr="0041563E">
        <w:rPr>
          <w:rFonts w:ascii="Arial" w:hAnsi="Arial" w:cs="Arial"/>
          <w:bCs/>
          <w:sz w:val="24"/>
          <w:szCs w:val="24"/>
        </w:rPr>
        <w:t>.</w:t>
      </w:r>
    </w:p>
    <w:p w14:paraId="3C9258EB" w14:textId="77777777" w:rsidR="009A3DA5" w:rsidRPr="004156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E7D705B" w:rsidR="009A3DA5" w:rsidRPr="0041563E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30D5E" w:rsidRPr="0041563E">
        <w:rPr>
          <w:rFonts w:ascii="Arial" w:eastAsia="Times New Roman" w:hAnsi="Arial" w:cs="Arial"/>
          <w:sz w:val="24"/>
          <w:szCs w:val="24"/>
          <w:lang w:eastAsia="cs-CZ"/>
        </w:rPr>
        <w:t>15. 11. 2023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41563E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41563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FF6288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738B0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FF6288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41563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41563E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41563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41563E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41563E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41563E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41563E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41563E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41563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41563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415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41563E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41563E">
        <w:rPr>
          <w:rFonts w:ascii="Arial" w:hAnsi="Arial" w:cs="Arial"/>
          <w:sz w:val="24"/>
          <w:szCs w:val="24"/>
        </w:rPr>
        <w:t>10.</w:t>
      </w:r>
      <w:r w:rsidR="0006491F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="00E93DF9" w:rsidRPr="0041563E">
        <w:rPr>
          <w:rFonts w:ascii="Arial" w:hAnsi="Arial" w:cs="Arial"/>
          <w:sz w:val="24"/>
          <w:szCs w:val="24"/>
        </w:rPr>
        <w:t>Pravidel</w:t>
      </w:r>
      <w:r w:rsidR="00840C0F" w:rsidRPr="0041563E">
        <w:rPr>
          <w:rFonts w:ascii="Arial" w:hAnsi="Arial" w:cs="Arial"/>
          <w:sz w:val="24"/>
          <w:szCs w:val="24"/>
        </w:rPr>
        <w:t>.</w:t>
      </w:r>
    </w:p>
    <w:p w14:paraId="2FDE39D2" w14:textId="72F80D7E" w:rsidR="00822CBA" w:rsidRPr="0041563E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41563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1563E" w:rsidRPr="004156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05E225C" w:rsidR="00A9730D" w:rsidRPr="0041563E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41563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41563E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41563E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41563E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41563E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4156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FFCD94A" w:rsidR="00A9730D" w:rsidRPr="0041563E" w:rsidRDefault="00622110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41563E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6F4008" w:rsidRPr="0041563E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D71D10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="00551B88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41563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41563E">
        <w:rPr>
          <w:rFonts w:ascii="Arial" w:eastAsia="Times New Roman" w:hAnsi="Arial" w:cs="Arial"/>
          <w:sz w:val="24"/>
          <w:szCs w:val="24"/>
          <w:lang w:eastAsia="cs-CZ"/>
        </w:rPr>
        <w:t>mlouvy.</w:t>
      </w:r>
    </w:p>
    <w:p w14:paraId="0726C632" w14:textId="272195A2" w:rsidR="00A9730D" w:rsidRPr="0041563E" w:rsidRDefault="00223FFE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4156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akce. V příloze závěrečné zprávy je příjemce povinen předložit poskytovateli fotodokumentaci provedené obnovy </w:t>
      </w:r>
      <w:r w:rsidR="002F7F6C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</w:t>
      </w:r>
    </w:p>
    <w:p w14:paraId="7F03B05F" w14:textId="009778C9" w:rsidR="001147F6" w:rsidRPr="0041563E" w:rsidRDefault="00A9730D" w:rsidP="001147F6">
      <w:pPr>
        <w:pStyle w:val="Odstavecseseznamem"/>
        <w:numPr>
          <w:ilvl w:val="0"/>
          <w:numId w:val="20"/>
        </w:numPr>
        <w:spacing w:after="120"/>
        <w:rPr>
          <w:rFonts w:ascii="Arial" w:hAnsi="Arial" w:cs="Arial"/>
          <w:bCs/>
          <w:sz w:val="24"/>
          <w:szCs w:val="24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="001147F6" w:rsidRPr="0041563E">
        <w:rPr>
          <w:rFonts w:ascii="Arial" w:hAnsi="Arial" w:cs="Arial"/>
          <w:bCs/>
          <w:sz w:val="24"/>
          <w:szCs w:val="24"/>
        </w:rPr>
        <w:t>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="001147F6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="001147F6" w:rsidRPr="0041563E">
        <w:rPr>
          <w:rFonts w:ascii="Arial" w:hAnsi="Arial" w:cs="Arial"/>
          <w:bCs/>
          <w:sz w:val="24"/>
          <w:szCs w:val="24"/>
        </w:rPr>
        <w:t xml:space="preserve"> </w:t>
      </w:r>
      <w:r w:rsidR="001147F6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</w:t>
      </w:r>
      <w:r w:rsidR="00ED55B7" w:rsidRPr="0041563E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1147F6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nebo pokud nebude obnova </w:t>
      </w:r>
      <w:r w:rsidR="006C6488" w:rsidRPr="0041563E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1147F6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="001147F6" w:rsidRPr="0041563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147F6" w:rsidRPr="0041563E">
        <w:rPr>
          <w:rStyle w:val="Tunznak"/>
          <w:szCs w:val="24"/>
        </w:rPr>
        <w:t>zák. č. 20/1987 Sb., o státní památkové péči, ve znění pozdějších předpisů</w:t>
      </w:r>
      <w:r w:rsidR="001147F6" w:rsidRPr="0041563E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1147F6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 </w:t>
      </w:r>
    </w:p>
    <w:p w14:paraId="3C9258FA" w14:textId="67C984BF" w:rsidR="009A3DA5" w:rsidRPr="004156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4156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4156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41563E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41563E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41563E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41563E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4156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1563E" w:rsidRPr="0041563E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41563E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41563E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41563E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1563E" w:rsidRPr="0041563E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41563E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41563E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63E" w:rsidRPr="0041563E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41563E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41563E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63E" w:rsidRPr="0041563E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41563E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41563E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41563E" w:rsidRPr="0041563E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41563E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15 kalendářních dnů od marného uplynutí </w:t>
            </w:r>
            <w:r w:rsidR="003E5811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41563E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41563E" w:rsidRPr="0041563E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41563E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41563E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63E" w:rsidRPr="0041563E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41563E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41563E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41563E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41563E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41563E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41563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A8CF18" w14:textId="491DAA81" w:rsidR="001147F6" w:rsidRPr="0041563E" w:rsidRDefault="009A3DA5" w:rsidP="001147F6">
      <w:pPr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1147F6" w:rsidRPr="0041563E">
        <w:rPr>
          <w:rFonts w:ascii="Arial" w:hAnsi="Arial" w:cs="Arial"/>
          <w:sz w:val="24"/>
          <w:szCs w:val="24"/>
        </w:rPr>
        <w:t xml:space="preserve">27-4228330207/0100 </w:t>
      </w:r>
      <w:r w:rsidR="00D40813" w:rsidRPr="0041563E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1147F6" w:rsidRPr="0041563E">
        <w:rPr>
          <w:rFonts w:ascii="Arial" w:hAnsi="Arial" w:cs="Arial"/>
          <w:sz w:val="24"/>
          <w:szCs w:val="24"/>
        </w:rPr>
        <w:t xml:space="preserve"> 27-4228320287/0100. </w:t>
      </w:r>
    </w:p>
    <w:p w14:paraId="3C925913" w14:textId="77777777" w:rsidR="009A3DA5" w:rsidRPr="0041563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27BE580" w:rsidR="00836AA2" w:rsidRPr="0041563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41563E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7639E0" w:rsidRPr="0041563E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41563E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7639E0" w:rsidRPr="0041563E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4299B5C1" w:rsidR="00836AA2" w:rsidRPr="0041563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41563E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41563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41563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4156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41563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41563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41563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41563E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41563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1563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431A0A" w:rsidRPr="0041563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832B91" w:rsidRPr="0041563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431A0A" w:rsidRPr="0041563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832B91" w:rsidRPr="0041563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41563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6C15CEB6" w14:textId="4A0A6AB9" w:rsidR="00AF3968" w:rsidRPr="0041563E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306710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41563E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41563E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4156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4156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41563E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minimis. V takovém případě se </w:t>
      </w:r>
      <w:r w:rsidR="003A0325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41563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41563E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41563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41563E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41563E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41563E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41563E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41563E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5EECD3A2" w:rsidR="00A62D21" w:rsidRPr="0041563E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4156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4156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4156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4156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41563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41563E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41563E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1563E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41563E">
        <w:rPr>
          <w:rFonts w:ascii="Arial" w:hAnsi="Arial" w:cs="Arial"/>
          <w:sz w:val="24"/>
          <w:szCs w:val="24"/>
          <w:lang w:eastAsia="cs-CZ"/>
        </w:rPr>
        <w:t>T</w:t>
      </w:r>
      <w:r w:rsidRPr="0041563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0EDEAE6A" w:rsidR="005D5717" w:rsidRPr="0041563E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 w:rsidRPr="0041563E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41563E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41563E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41563E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41563E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41563E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415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68200C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3E7FD87A" w:rsidR="009A3DA5" w:rsidRPr="004156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4156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4156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41563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41563E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41563E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41563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4156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 w:rsidRPr="00415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41563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415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177877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65567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text</w:t>
      </w:r>
      <w:r w:rsidR="00A65567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„</w:t>
      </w:r>
      <w:r w:rsidR="00175FE2" w:rsidRPr="0041563E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41563E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6B0AF6F" w14:textId="77777777" w:rsidR="002E2327" w:rsidRDefault="002E2327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0A332C" w14:textId="77777777" w:rsidR="002E2327" w:rsidRDefault="002E2327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1E1B3D45" w:rsidR="009A3DA5" w:rsidRPr="0041563E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1563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1563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1563E" w:rsidRPr="0041563E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41563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Pr="0041563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41563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41563E" w:rsidRPr="0041563E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41563E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4156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41563E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41563E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41563E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41563E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56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4156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41563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73985A8C" w:rsidR="00FE3DFD" w:rsidRPr="006E3393" w:rsidRDefault="00FE3DFD" w:rsidP="006E3393">
      <w:pPr>
        <w:ind w:left="0" w:firstLine="0"/>
        <w:rPr>
          <w:rFonts w:ascii="Arial" w:hAnsi="Arial" w:cs="Arial"/>
          <w:bCs/>
        </w:rPr>
      </w:pPr>
    </w:p>
    <w:sectPr w:rsidR="00FE3DFD" w:rsidRPr="006E3393" w:rsidSect="003038DB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FF18" w14:textId="77777777" w:rsidR="00174950" w:rsidRDefault="00174950" w:rsidP="00D40C40">
      <w:r>
        <w:separator/>
      </w:r>
    </w:p>
  </w:endnote>
  <w:endnote w:type="continuationSeparator" w:id="0">
    <w:p w14:paraId="47F03083" w14:textId="77777777" w:rsidR="00174950" w:rsidRDefault="0017495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Calibri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6D14CF6" w14:textId="0D3DE53B" w:rsidR="001C1E1D" w:rsidRPr="00496D97" w:rsidRDefault="00816662" w:rsidP="001C1E1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eastAsia="Calibri" w:hAnsi="Arial" w:cs="Arial"/>
            <w:i/>
            <w:sz w:val="20"/>
            <w:szCs w:val="20"/>
          </w:rPr>
        </w:pPr>
        <w:r>
          <w:rPr>
            <w:rFonts w:ascii="Arial" w:eastAsia="Calibri" w:hAnsi="Arial" w:cs="Arial"/>
            <w:i/>
            <w:sz w:val="20"/>
            <w:szCs w:val="20"/>
          </w:rPr>
          <w:t>Zastupitelstvo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eastAsia="Calibri" w:hAnsi="Arial" w:cs="Arial"/>
            <w:i/>
            <w:sz w:val="20"/>
            <w:szCs w:val="20"/>
          </w:rPr>
          <w:t>12. 12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>. 2022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ab/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ab/>
          <w:t xml:space="preserve">Strana 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fldChar w:fldCharType="begin"/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instrText>PAGE   \* MERGEFORMAT</w:instrTex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fldChar w:fldCharType="separate"/>
        </w:r>
        <w:r w:rsidR="00CA0D0A">
          <w:rPr>
            <w:rFonts w:ascii="Arial" w:eastAsia="Calibri" w:hAnsi="Arial" w:cs="Arial"/>
            <w:i/>
            <w:noProof/>
            <w:sz w:val="20"/>
            <w:szCs w:val="20"/>
          </w:rPr>
          <w:t>187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fldChar w:fldCharType="end"/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 xml:space="preserve"> (celkem </w:t>
        </w:r>
        <w:r w:rsidR="00CA0D0A">
          <w:rPr>
            <w:rFonts w:ascii="Arial" w:eastAsia="Calibri" w:hAnsi="Arial" w:cs="Arial"/>
            <w:i/>
            <w:sz w:val="20"/>
            <w:szCs w:val="20"/>
          </w:rPr>
          <w:t>210</w:t>
        </w:r>
        <w:r w:rsidR="001C1E1D" w:rsidRPr="00496D97">
          <w:rPr>
            <w:rFonts w:ascii="Arial" w:eastAsia="Calibri" w:hAnsi="Arial" w:cs="Arial"/>
            <w:i/>
            <w:sz w:val="20"/>
            <w:szCs w:val="20"/>
          </w:rPr>
          <w:t>)</w:t>
        </w:r>
      </w:p>
    </w:sdtContent>
  </w:sdt>
  <w:p w14:paraId="36826617" w14:textId="6BAF11C3" w:rsidR="001C1E1D" w:rsidRPr="00496D97" w:rsidRDefault="00816662" w:rsidP="001C1E1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1C1E1D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41563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program </w:t>
    </w:r>
    <w:r w:rsidR="001C1E1D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07_01_Pravidla Program památkové péče v Olomouckém kraji v roce 2023-vyhlášení</w:t>
    </w:r>
  </w:p>
  <w:p w14:paraId="366BEF3E" w14:textId="0EA9F3B4" w:rsidR="00BB7AD5" w:rsidRPr="001C1E1D" w:rsidRDefault="001C1E1D" w:rsidP="001C1E1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643D13"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na akci </w:t>
    </w:r>
    <w:r w:rsidRPr="001C1E1D">
      <w:rPr>
        <w:rFonts w:ascii="Arial" w:eastAsia="Times New Roman" w:hAnsi="Arial" w:cs="Arial"/>
        <w:i/>
        <w:iCs/>
        <w:sz w:val="20"/>
        <w:szCs w:val="20"/>
        <w:lang w:eastAsia="cs-CZ"/>
      </w:rPr>
      <w:t>právnické osobě</w:t>
    </w:r>
    <w:r w:rsidR="00766D8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DT3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46B2" w14:textId="77777777" w:rsidR="00174950" w:rsidRDefault="00174950" w:rsidP="00D40C40">
      <w:r>
        <w:separator/>
      </w:r>
    </w:p>
  </w:footnote>
  <w:footnote w:type="continuationSeparator" w:id="0">
    <w:p w14:paraId="349DD2DF" w14:textId="77777777" w:rsidR="00174950" w:rsidRDefault="0017495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D7CBB"/>
    <w:rsid w:val="000E1AAD"/>
    <w:rsid w:val="000E2BFA"/>
    <w:rsid w:val="000E4EB8"/>
    <w:rsid w:val="000E4F2F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47F6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4BB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4950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1E1D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53E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FFE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5F3A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327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2F7F6C"/>
    <w:rsid w:val="00300065"/>
    <w:rsid w:val="00300EB6"/>
    <w:rsid w:val="003038DB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53BC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2E6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63E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39C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3EDC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3D13"/>
    <w:rsid w:val="00644896"/>
    <w:rsid w:val="00644A22"/>
    <w:rsid w:val="00644A29"/>
    <w:rsid w:val="00644E8F"/>
    <w:rsid w:val="00644F18"/>
    <w:rsid w:val="0064682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0EB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2C8A"/>
    <w:rsid w:val="006C43C7"/>
    <w:rsid w:val="006C452D"/>
    <w:rsid w:val="006C478B"/>
    <w:rsid w:val="006C5BC4"/>
    <w:rsid w:val="006C6488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93"/>
    <w:rsid w:val="006E33A0"/>
    <w:rsid w:val="006E4022"/>
    <w:rsid w:val="006E4A03"/>
    <w:rsid w:val="006E54F8"/>
    <w:rsid w:val="006E5BA7"/>
    <w:rsid w:val="006E5E62"/>
    <w:rsid w:val="006F07FC"/>
    <w:rsid w:val="006F0FBA"/>
    <w:rsid w:val="006F1BEC"/>
    <w:rsid w:val="006F2817"/>
    <w:rsid w:val="006F4008"/>
    <w:rsid w:val="006F45AE"/>
    <w:rsid w:val="006F5BE6"/>
    <w:rsid w:val="006F7040"/>
    <w:rsid w:val="007003C9"/>
    <w:rsid w:val="00701538"/>
    <w:rsid w:val="00701BCD"/>
    <w:rsid w:val="00703E07"/>
    <w:rsid w:val="00705445"/>
    <w:rsid w:val="007057D7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9E0"/>
    <w:rsid w:val="00763C0A"/>
    <w:rsid w:val="00763E5A"/>
    <w:rsid w:val="00764230"/>
    <w:rsid w:val="00764B5B"/>
    <w:rsid w:val="00764D1B"/>
    <w:rsid w:val="00766D8F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16662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1555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894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158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39A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0D0A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76C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279DA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55B7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0D5E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6960E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48FD-B3F3-4D4E-A5E1-DF5F5F9D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3127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34</cp:revision>
  <cp:lastPrinted>2019-08-21T08:37:00Z</cp:lastPrinted>
  <dcterms:created xsi:type="dcterms:W3CDTF">2022-09-14T07:31:00Z</dcterms:created>
  <dcterms:modified xsi:type="dcterms:W3CDTF">2022-11-23T12:07:00Z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