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E8049EF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4FFD83ED" w14:textId="77777777" w:rsidR="0016310D" w:rsidRPr="00AF2FF2" w:rsidRDefault="0016310D" w:rsidP="0016310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2FF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nabytí účinnosti této smlouvy, </w:t>
      </w:r>
      <w:r w:rsidRPr="00AF2FF2">
        <w:rPr>
          <w:rFonts w:ascii="Arial" w:hAnsi="Arial" w:cs="Arial"/>
          <w:sz w:val="24"/>
          <w:szCs w:val="24"/>
        </w:rPr>
        <w:t>následovně:</w:t>
      </w:r>
      <w:r w:rsidRPr="00AF2FF2">
        <w:t xml:space="preserve"> </w:t>
      </w:r>
    </w:p>
    <w:p w14:paraId="4BBAF53C" w14:textId="77777777" w:rsidR="0016310D" w:rsidRPr="00AF2FF2" w:rsidRDefault="0016310D" w:rsidP="0016310D">
      <w:pPr>
        <w:pStyle w:val="Default"/>
        <w:ind w:left="851" w:hanging="284"/>
        <w:jc w:val="both"/>
        <w:rPr>
          <w:color w:val="auto"/>
        </w:rPr>
      </w:pPr>
      <w:r w:rsidRPr="00AF2FF2">
        <w:rPr>
          <w:color w:val="auto"/>
        </w:rPr>
        <w:t xml:space="preserve">a) První část dotace </w:t>
      </w:r>
      <w:r w:rsidRPr="00AF2FF2">
        <w:rPr>
          <w:rFonts w:eastAsia="Times New Roman"/>
          <w:color w:val="auto"/>
          <w:lang w:eastAsia="cs-CZ"/>
        </w:rPr>
        <w:t>ve výši 1/3 celkové schválené dotace</w:t>
      </w:r>
      <w:r w:rsidRPr="00AF2FF2">
        <w:rPr>
          <w:color w:val="auto"/>
        </w:rPr>
        <w:t xml:space="preserve">, určená pro rok 2023, bude poskytnuta nejpozději do 21 dnů ode dne nabytí účinnosti této smlouvy. </w:t>
      </w:r>
    </w:p>
    <w:p w14:paraId="5E5EEC57" w14:textId="77777777" w:rsidR="0016310D" w:rsidRPr="00AF2FF2" w:rsidRDefault="0016310D" w:rsidP="0016310D">
      <w:pPr>
        <w:pStyle w:val="Default"/>
        <w:ind w:left="851" w:hanging="284"/>
        <w:jc w:val="both"/>
        <w:rPr>
          <w:color w:val="auto"/>
        </w:rPr>
      </w:pPr>
      <w:r w:rsidRPr="00AF2FF2">
        <w:rPr>
          <w:color w:val="auto"/>
        </w:rPr>
        <w:t xml:space="preserve">b) Druhá část dotace </w:t>
      </w:r>
      <w:r w:rsidRPr="00AF2FF2">
        <w:rPr>
          <w:rFonts w:eastAsia="Times New Roman"/>
          <w:color w:val="auto"/>
          <w:lang w:eastAsia="cs-CZ"/>
        </w:rPr>
        <w:t>ve výši 1/3 celkové schválené dotace</w:t>
      </w:r>
      <w:r w:rsidRPr="00AF2FF2">
        <w:rPr>
          <w:color w:val="auto"/>
        </w:rPr>
        <w:t xml:space="preserve">, určená pro rok 2024, bude poskytnuta nejpozději do 29. 2. 2024 ve výši 1/3 celkové schválené dotace. </w:t>
      </w:r>
    </w:p>
    <w:p w14:paraId="7A9DB4DF" w14:textId="77777777" w:rsidR="0016310D" w:rsidRPr="00325C4D" w:rsidRDefault="0016310D" w:rsidP="0016310D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F2FF2">
        <w:rPr>
          <w:rFonts w:ascii="Arial" w:hAnsi="Arial" w:cs="Arial"/>
          <w:sz w:val="24"/>
          <w:szCs w:val="24"/>
        </w:rPr>
        <w:t xml:space="preserve">c)  Třetí část dotace </w:t>
      </w:r>
      <w:r w:rsidRPr="00AF2FF2">
        <w:rPr>
          <w:rFonts w:ascii="Arial" w:eastAsia="Times New Roman" w:hAnsi="Arial" w:cs="Arial"/>
          <w:sz w:val="24"/>
          <w:szCs w:val="24"/>
          <w:lang w:eastAsia="cs-CZ"/>
        </w:rPr>
        <w:t>ve výši 1/3 celkové schválené dotace</w:t>
      </w:r>
      <w:r w:rsidRPr="00AF2FF2">
        <w:rPr>
          <w:rFonts w:ascii="Arial" w:hAnsi="Arial" w:cs="Arial"/>
          <w:sz w:val="24"/>
          <w:szCs w:val="24"/>
        </w:rPr>
        <w:t>, určená pro rok 2025, bude poskytnuta nejpozději do 28. 2. 2025 ve výši 1/3 celkové schválené dotace.</w:t>
      </w:r>
      <w:r w:rsidRPr="00AF2F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F30C51A" w14:textId="77777777" w:rsidR="0016310D" w:rsidRPr="00325C4D" w:rsidRDefault="0016310D" w:rsidP="0016310D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</w:p>
    <w:p w14:paraId="5D06341C" w14:textId="77777777" w:rsidR="0016310D" w:rsidRPr="00AF2FF2" w:rsidRDefault="0016310D" w:rsidP="001631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2FF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ve třech částech v následujících třech letech následovně:</w:t>
      </w:r>
    </w:p>
    <w:p w14:paraId="520A02D1" w14:textId="77777777" w:rsidR="0016310D" w:rsidRPr="00AF2FF2" w:rsidRDefault="0016310D" w:rsidP="0016310D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2FF2">
        <w:rPr>
          <w:rFonts w:ascii="Arial" w:eastAsia="Times New Roman" w:hAnsi="Arial" w:cs="Arial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AF2FF2">
        <w:rPr>
          <w:rFonts w:ascii="Arial" w:hAnsi="Arial" w:cs="Arial"/>
          <w:sz w:val="24"/>
          <w:szCs w:val="24"/>
        </w:rPr>
        <w:t>ode dne nabytí účinnosti této smlouvy</w:t>
      </w:r>
      <w:r w:rsidRPr="00AF2F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1AF44D" w14:textId="77777777" w:rsidR="0016310D" w:rsidRPr="00AF2FF2" w:rsidRDefault="0016310D" w:rsidP="0016310D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F2FF2">
        <w:rPr>
          <w:rFonts w:ascii="Arial" w:eastAsia="Times New Roman" w:hAnsi="Arial" w:cs="Arial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AF2FF2">
        <w:rPr>
          <w:rFonts w:ascii="Arial" w:hAnsi="Arial" w:cs="Arial"/>
          <w:sz w:val="24"/>
          <w:szCs w:val="24"/>
        </w:rPr>
        <w:t>ode dne, kdy čl. I odst. 3 písm. b) nabude účinnosti.</w:t>
      </w:r>
    </w:p>
    <w:p w14:paraId="561B08C9" w14:textId="77777777" w:rsidR="0016310D" w:rsidRPr="00AF2FF2" w:rsidRDefault="0016310D" w:rsidP="0016310D">
      <w:pPr>
        <w:pStyle w:val="Odstavecseseznamem"/>
        <w:numPr>
          <w:ilvl w:val="0"/>
          <w:numId w:val="45"/>
        </w:numPr>
        <w:spacing w:after="120"/>
        <w:ind w:left="92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F2FF2">
        <w:rPr>
          <w:rFonts w:ascii="Arial" w:eastAsia="Times New Roman" w:hAnsi="Arial" w:cs="Arial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AF2FF2">
        <w:rPr>
          <w:rFonts w:ascii="Arial" w:hAnsi="Arial" w:cs="Arial"/>
          <w:sz w:val="24"/>
          <w:szCs w:val="24"/>
        </w:rPr>
        <w:t xml:space="preserve">ode dne, kdy čl. </w:t>
      </w:r>
      <w:r w:rsidRPr="00AF2FF2">
        <w:rPr>
          <w:rFonts w:ascii="Arial" w:hAnsi="Arial"/>
          <w:sz w:val="24"/>
        </w:rPr>
        <w:t xml:space="preserve">I odst. </w:t>
      </w:r>
      <w:r w:rsidRPr="00AF2FF2">
        <w:rPr>
          <w:rFonts w:ascii="Arial" w:hAnsi="Arial" w:cs="Arial"/>
          <w:sz w:val="24"/>
          <w:szCs w:val="24"/>
        </w:rPr>
        <w:t xml:space="preserve">3 písm. c) nabude účinnosti. </w:t>
      </w:r>
    </w:p>
    <w:p w14:paraId="662CE68D" w14:textId="77777777" w:rsidR="0016310D" w:rsidRPr="00DC0860" w:rsidRDefault="0016310D" w:rsidP="0016310D">
      <w:pPr>
        <w:pStyle w:val="Odstavecseseznamem"/>
        <w:spacing w:after="120"/>
        <w:ind w:left="92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kdy dotace bude poskytována v režimu de </w:t>
      </w:r>
      <w:proofErr w:type="spellStart"/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77F82B4" w:rsidR="009A3DA5" w:rsidRPr="00826F10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E73360">
        <w:rPr>
          <w:rFonts w:ascii="Arial" w:hAnsi="Arial"/>
          <w:sz w:val="24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212FE1">
        <w:rPr>
          <w:rFonts w:ascii="Arial" w:eastAsia="Times New Roman" w:hAnsi="Arial" w:cs="Arial"/>
          <w:iCs/>
          <w:sz w:val="24"/>
          <w:szCs w:val="24"/>
          <w:lang w:eastAsia="cs-CZ"/>
        </w:rPr>
        <w:t>se za den poskytnutí příslušné části dotace považuje den, kdy příslušná část této smlouvy nabyde účinnosti.</w:t>
      </w:r>
    </w:p>
    <w:p w14:paraId="3C9258D1" w14:textId="549912DE" w:rsidR="009A3DA5" w:rsidRPr="007D35D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677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52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6DCF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lastRenderedPageBreak/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1A765B">
        <w:rPr>
          <w:rFonts w:ascii="Arial" w:hAnsi="Arial" w:cs="Arial"/>
          <w:sz w:val="24"/>
          <w:szCs w:val="24"/>
        </w:rPr>
        <w:t>zákonem</w:t>
      </w:r>
      <w:proofErr w:type="gramEnd"/>
      <w:r w:rsidRPr="001A765B">
        <w:rPr>
          <w:rFonts w:ascii="Arial" w:hAnsi="Arial" w:cs="Arial"/>
          <w:sz w:val="24"/>
          <w:szCs w:val="24"/>
        </w:rPr>
        <w:t xml:space="preserve">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5143A4AC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584579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58ACADEF" w:rsidR="00BC5C06" w:rsidRDefault="00BC5C06" w:rsidP="00BF2F76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</w:t>
      </w:r>
      <w:r w:rsidRP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 Pravidly konkrétního dotačního programu/titulu, tj. je potřeba toto v Pravidlech upravit - možnost vynaložení vlastních a jiných zdrojů i na neinvestiční účely by měla být uvedena zejména v čl. 6 Pravidel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konkrétního dotačního programu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A01EBC1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>……………………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20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4D5068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F41A9" w:rsidRPr="00FF41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FF41A9" w:rsidRPr="00FF41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0707D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FF41A9" w:rsidRPr="00FF41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DACB22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974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opačném </w:t>
      </w:r>
      <w:r w:rsidR="00374288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FCD8A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67256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E66D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21D769F6" w14:textId="77777777" w:rsidR="00A872EF" w:rsidRDefault="009A3DA5" w:rsidP="00A872E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9D5AEF6" w14:textId="5E98DADC" w:rsidR="00FC30A8" w:rsidRPr="00A872EF" w:rsidRDefault="00FC30A8" w:rsidP="00A872EF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72EF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použít první část poskytnuté dotace nejpozději dvou měsíců po ukončení akce/činnosti v roce 2023, druhou část poskytnuté dotace nejpozději do dvou měsíců po ukončení akce/činnosti v roce 2024 a třetí část poskytnuté dotace nejpozději do dvou měsíců po ukončení akce/činnosti v roce 2025.</w:t>
      </w:r>
    </w:p>
    <w:p w14:paraId="15A60BDB" w14:textId="77777777" w:rsidR="00FC30A8" w:rsidRPr="003E0167" w:rsidRDefault="00FC30A8" w:rsidP="00FC30A8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1E218709" w14:textId="1947C671" w:rsidR="00FC30A8" w:rsidRPr="009869E4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proofErr w:type="spellStart"/>
      <w:r w:rsidRPr="00212FE1">
        <w:rPr>
          <w:rFonts w:ascii="Arial" w:eastAsia="Times New Roman" w:hAnsi="Arial" w:cs="Arial"/>
          <w:iCs/>
          <w:sz w:val="24"/>
          <w:szCs w:val="24"/>
          <w:lang w:eastAsia="cs-CZ"/>
        </w:rPr>
        <w:t>použít</w:t>
      </w:r>
      <w:proofErr w:type="spellEnd"/>
      <w:r w:rsidRPr="00212F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první část poskytnuté 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212FE1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212FE1">
        <w:rPr>
          <w:rFonts w:ascii="Arial" w:hAnsi="Arial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074619C6" w14:textId="77777777" w:rsidR="00FC30A8" w:rsidRPr="009869E4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869E4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7576892" w14:textId="77777777" w:rsidR="00FC30A8" w:rsidRDefault="00FC30A8" w:rsidP="00FC30A8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 xml:space="preserve">(zde bude uvedeno % tak, aby v součtu s % spoluúčasti v druhé větě byl součet </w:t>
      </w:r>
      <w:r>
        <w:rPr>
          <w:rFonts w:ascii="Arial" w:hAnsi="Arial" w:cs="Arial"/>
          <w:bCs/>
          <w:i/>
          <w:color w:val="0000FF"/>
          <w:sz w:val="24"/>
          <w:szCs w:val="24"/>
        </w:rPr>
        <w:t>100 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B7CE2B9" w14:textId="5F535FE3" w:rsidR="00BF3D05" w:rsidRPr="009869E4" w:rsidRDefault="00FC30A8" w:rsidP="00FC30A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FE1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212FE1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212FE1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12FE1">
        <w:rPr>
          <w:rFonts w:ascii="Arial" w:hAnsi="Arial" w:cs="Arial"/>
          <w:sz w:val="24"/>
          <w:szCs w:val="24"/>
        </w:rPr>
        <w:t>, poskytnutých na realizaci činnosti uvedené v čl. I. </w:t>
      </w:r>
      <w:r w:rsidRPr="00212FE1">
        <w:rPr>
          <w:rFonts w:ascii="Arial" w:hAnsi="Arial"/>
          <w:sz w:val="24"/>
        </w:rPr>
        <w:t>odst.</w:t>
      </w:r>
      <w:r w:rsidRPr="00212FE1">
        <w:rPr>
          <w:rFonts w:ascii="Arial" w:hAnsi="Arial" w:cs="Arial"/>
          <w:sz w:val="24"/>
          <w:szCs w:val="24"/>
        </w:rPr>
        <w:t xml:space="preserve"> 2 této smlouvy nesmí přesáhnout </w:t>
      </w:r>
      <w:r w:rsidRPr="00212FE1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212FE1">
        <w:rPr>
          <w:rFonts w:ascii="Arial" w:hAnsi="Arial" w:cs="Arial"/>
          <w:sz w:val="24"/>
          <w:szCs w:val="24"/>
        </w:rPr>
        <w:t>(</w:t>
      </w:r>
      <w:r w:rsidRPr="00212FE1">
        <w:rPr>
          <w:rFonts w:ascii="Arial" w:hAnsi="Arial" w:cs="Arial"/>
          <w:b/>
          <w:sz w:val="24"/>
          <w:szCs w:val="24"/>
        </w:rPr>
        <w:t>70 %</w:t>
      </w:r>
      <w:r w:rsidRPr="00212FE1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112913F" w14:textId="3E907B1E" w:rsidR="00BF3D05" w:rsidRPr="009869E4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67AB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184826C6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5006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6E1C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4D424D" w14:textId="77777777" w:rsidR="00FC30A8" w:rsidRPr="003E0167" w:rsidRDefault="00FC30A8" w:rsidP="00FC30A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v roce 2024 průběžné vyúčtování druhé části poskytnuté dotace;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v roce 2025 závěrečné vyúčtování poskytnuté dotace.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Pr="001738B0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57F54FE0" w:rsidR="006A1189" w:rsidRDefault="00FC30A8" w:rsidP="00FC30A8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2FE1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první a 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CF94764" w:rsidR="006A1189" w:rsidRPr="00674FDD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4157F3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14B77AAA" w14:textId="21D16078" w:rsidR="00FC30A8" w:rsidRPr="003E0167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průběžného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průběžnou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DE980E1" w14:textId="237C85DE" w:rsidR="00FC30A8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Průběžná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212FE1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/</w:t>
      </w:r>
      <w:r w:rsidRPr="00212FE1">
        <w:rPr>
          <w:rFonts w:ascii="Arial" w:eastAsia="Times New Roman" w:hAnsi="Arial" w:cs="Arial"/>
          <w:i/>
          <w:iCs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2022F9F" w14:textId="77777777" w:rsidR="00FC30A8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8E9D895" w14:textId="77777777" w:rsidR="00FC30A8" w:rsidRPr="003E0167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poskytovateli.........</w:t>
      </w:r>
    </w:p>
    <w:p w14:paraId="4E66D73B" w14:textId="0E267C3C" w:rsidR="006A1189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2FE1">
        <w:rPr>
          <w:rFonts w:ascii="Arial" w:eastAsia="Times New Roman" w:hAnsi="Arial" w:cs="Arial"/>
          <w:iCs/>
          <w:sz w:val="24"/>
          <w:szCs w:val="24"/>
          <w:lang w:eastAsia="cs-CZ"/>
        </w:rPr>
        <w:t>Závěrečná zpráva musí nadto obsahovat celkové zhodnocení podpořené akce/činnosti za celé období, na které byla dotace poskytnuta, tj. za roky 2023–2025. To bude doplněno stručným strukturovaným přehledem financování, který musí obsahovat vyčíslení výše veškerých příjmů, výdajů, vlastních a jiných zdrojů a výše čerpané dotace včetně  odvodů, vratek a penále za uvedené období.</w:t>
      </w:r>
    </w:p>
    <w:p w14:paraId="3C9258F9" w14:textId="6A6C5FD4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701940" w:rsidRPr="0070194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smlouvy, </w:t>
      </w:r>
      <w:r w:rsidR="00701940" w:rsidRPr="006B44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</w:t>
      </w:r>
      <w:r w:rsidR="00701940" w:rsidRPr="00D91D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10187B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42BFDDDB" w14:textId="7F08D7E2" w:rsidR="00FC30A8" w:rsidRDefault="00FC30A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212F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212FE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212F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212FE1">
        <w:rPr>
          <w:rFonts w:ascii="Arial" w:hAnsi="Arial" w:cs="Arial"/>
          <w:sz w:val="24"/>
          <w:szCs w:val="24"/>
        </w:rPr>
        <w:t>(</w:t>
      </w:r>
      <w:r w:rsidRPr="00212FE1">
        <w:rPr>
          <w:rFonts w:ascii="Arial" w:hAnsi="Arial" w:cs="Arial"/>
          <w:b/>
          <w:sz w:val="24"/>
          <w:szCs w:val="24"/>
        </w:rPr>
        <w:t>70 %</w:t>
      </w:r>
      <w:r w:rsidRPr="00212FE1">
        <w:rPr>
          <w:rFonts w:ascii="Arial" w:hAnsi="Arial" w:cs="Arial"/>
          <w:sz w:val="24"/>
          <w:szCs w:val="24"/>
        </w:rPr>
        <w:t xml:space="preserve"> na činnost týkající se vydávání hudby a literatury)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212FE1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212FE1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212FE1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12FE1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212FE1">
        <w:rPr>
          <w:rFonts w:ascii="Arial" w:hAnsi="Arial" w:cs="Arial"/>
          <w:b/>
          <w:sz w:val="24"/>
          <w:szCs w:val="24"/>
        </w:rPr>
        <w:t xml:space="preserve">80 % </w:t>
      </w:r>
      <w:r w:rsidRPr="00212FE1">
        <w:rPr>
          <w:rFonts w:ascii="Arial" w:hAnsi="Arial" w:cs="Arial"/>
          <w:sz w:val="24"/>
          <w:szCs w:val="24"/>
        </w:rPr>
        <w:t>(</w:t>
      </w:r>
      <w:r w:rsidRPr="00212FE1">
        <w:rPr>
          <w:rFonts w:ascii="Arial" w:hAnsi="Arial" w:cs="Arial"/>
          <w:b/>
          <w:sz w:val="24"/>
          <w:szCs w:val="24"/>
        </w:rPr>
        <w:t>70 %</w:t>
      </w:r>
      <w:r w:rsidRPr="00212FE1">
        <w:rPr>
          <w:rFonts w:ascii="Arial" w:hAnsi="Arial" w:cs="Arial"/>
          <w:sz w:val="24"/>
          <w:szCs w:val="24"/>
        </w:rPr>
        <w:t xml:space="preserve"> na činnost týkající se vydávání hudby a literatury)  </w:t>
      </w:r>
      <w:r w:rsidRPr="00212FE1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CB3F4E5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574F1F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70AE8"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1B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7C1C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831450D" w14:textId="0869220D" w:rsidR="00361A53" w:rsidRDefault="00361A53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 w:rsidR="00731B2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7C87FE3C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39CD1F9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</w:t>
      </w:r>
      <w:r w:rsidR="00961350" w:rsidRPr="00212FE1">
        <w:rPr>
          <w:rFonts w:ascii="Arial" w:eastAsia="Times New Roman" w:hAnsi="Arial" w:cs="Arial"/>
          <w:iCs/>
          <w:sz w:val="24"/>
          <w:szCs w:val="24"/>
          <w:lang w:eastAsia="cs-CZ"/>
        </w:rPr>
        <w:t>/</w:t>
      </w:r>
      <w:r w:rsidR="00961350" w:rsidRPr="00212FE1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11 (pokud bude GBER)</w:t>
      </w:r>
      <w:r w:rsidR="009613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F56943A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="00961350" w:rsidRPr="00212F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6-9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93C916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6AD09AF4" w14:textId="77777777" w:rsidR="00961350" w:rsidRPr="00212FE1" w:rsidRDefault="00961350" w:rsidP="00961350">
      <w:pPr>
        <w:spacing w:after="120"/>
        <w:ind w:left="0" w:firstLine="0"/>
        <w:rPr>
          <w:rFonts w:ascii="Arial" w:eastAsia="Times New Roman" w:hAnsi="Arial" w:cs="Arial"/>
          <w:i/>
          <w:sz w:val="28"/>
          <w:szCs w:val="24"/>
          <w:lang w:eastAsia="cs-CZ"/>
        </w:rPr>
      </w:pPr>
      <w:r w:rsidRPr="00212FE1">
        <w:rPr>
          <w:rFonts w:ascii="Arial" w:hAnsi="Arial" w:cs="Arial"/>
          <w:i/>
          <w:sz w:val="24"/>
        </w:rPr>
        <w:t xml:space="preserve">Ustanovení 2-5 se ve smlouvě uvedou v případě, kdy </w:t>
      </w:r>
      <w:r w:rsidRPr="00212FE1">
        <w:rPr>
          <w:rFonts w:ascii="Arial" w:hAnsi="Arial" w:cs="Arial"/>
          <w:b/>
          <w:i/>
          <w:sz w:val="24"/>
          <w:u w:val="single"/>
        </w:rPr>
        <w:t>bude veřejná podpora řešena dle GBER</w:t>
      </w:r>
      <w:r w:rsidRPr="00212FE1">
        <w:rPr>
          <w:rFonts w:ascii="Arial" w:hAnsi="Arial" w:cs="Arial"/>
          <w:i/>
          <w:sz w:val="24"/>
        </w:rPr>
        <w:t>.</w:t>
      </w:r>
    </w:p>
    <w:p w14:paraId="5FD56B3D" w14:textId="77777777" w:rsidR="00961350" w:rsidRPr="00212FE1" w:rsidRDefault="00961350" w:rsidP="009613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FE1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 (čl. 53 Podpora kultury a zachování kulturního dědictví).</w:t>
      </w:r>
    </w:p>
    <w:p w14:paraId="197FF2E2" w14:textId="77777777" w:rsidR="00961350" w:rsidRPr="00212FE1" w:rsidRDefault="00961350" w:rsidP="009613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212FE1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5C9574E8" w14:textId="77777777" w:rsidR="00961350" w:rsidRPr="00212FE1" w:rsidRDefault="00961350" w:rsidP="009613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212FE1">
        <w:rPr>
          <w:rFonts w:ascii="Arial" w:hAnsi="Arial" w:cs="Arial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53A3D744" w14:textId="6CB2D9F2" w:rsidR="00961350" w:rsidRPr="009869E4" w:rsidRDefault="00961350" w:rsidP="0096135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212FE1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212FE1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007AB9E3" w14:textId="123039CE" w:rsidR="004514E3" w:rsidRPr="009869E4" w:rsidRDefault="0067659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Pr="007B68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veřejná podpora nebude řešena prostřednictvím GBER,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odst.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C81DDFC" w:rsidR="00170EC7" w:rsidRPr="009869E4" w:rsidRDefault="009613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325C4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B681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§ 10d zákona č. 250/2000 Sb., o rozpočtových </w:t>
      </w:r>
      <w:r w:rsidRPr="00325C4D">
        <w:rPr>
          <w:rFonts w:ascii="Arial" w:hAnsi="Arial" w:cs="Arial"/>
          <w:sz w:val="24"/>
          <w:szCs w:val="24"/>
          <w:lang w:eastAsia="cs-CZ"/>
        </w:rPr>
        <w:t>pravidlech územních rozpočtů, ve znění pozdějších právních předpisů.</w:t>
      </w:r>
    </w:p>
    <w:p w14:paraId="47AA22E9" w14:textId="11B8E700" w:rsidR="0016310D" w:rsidRPr="00325C4D" w:rsidRDefault="0016310D" w:rsidP="0016310D">
      <w:pPr>
        <w:numPr>
          <w:ilvl w:val="0"/>
          <w:numId w:val="35"/>
        </w:numPr>
        <w:spacing w:after="120"/>
        <w:rPr>
          <w:rFonts w:ascii="Arial" w:hAnsi="Arial"/>
          <w:strike/>
          <w:sz w:val="24"/>
        </w:rPr>
      </w:pPr>
      <w:r w:rsidRPr="00325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25C4D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25C4D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25C4D">
        <w:rPr>
          <w:rFonts w:ascii="Arial" w:hAnsi="Arial" w:cs="Arial"/>
          <w:color w:val="1F497D"/>
          <w:sz w:val="24"/>
          <w:szCs w:val="24"/>
          <w:lang w:eastAsia="cs-CZ"/>
        </w:rPr>
        <w:t xml:space="preserve">. </w:t>
      </w:r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  <w:r w:rsidRPr="00325C4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25C4D">
        <w:rPr>
          <w:rFonts w:ascii="Arial" w:hAnsi="Arial" w:cs="Arial"/>
          <w:color w:val="0000FF"/>
          <w:sz w:val="24"/>
          <w:szCs w:val="24"/>
          <w:lang w:eastAsia="cs-CZ"/>
        </w:rPr>
        <w:t>Odlišně od předchozí věty smluvní strany sjednávají, že čl. I odst. 3 písm. b) nabývá účinnosti dne X. X. 2024 a čl. I odst. 3 písm. c) nabývá účinnosti dne X. X. 2025.</w:t>
      </w:r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(tato věta bude doplněna v případě, kdy dotace bude poskytována v režimu de </w:t>
      </w:r>
      <w:proofErr w:type="spellStart"/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25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C7E7F12" w14:textId="24884FE8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tato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7F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1BCFF4B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0F2561" w:rsidRPr="000F25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3 část A odst. 4 písm. b) Zásad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E135BA8" w:rsidR="00EC57C5" w:rsidRDefault="00EC57C5" w:rsidP="00A81EF9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EC57C5" w:rsidSect="00212FE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79BD" w14:textId="77777777" w:rsidR="00450F56" w:rsidRDefault="00450F56" w:rsidP="00D40C40">
      <w:r>
        <w:separator/>
      </w:r>
    </w:p>
  </w:endnote>
  <w:endnote w:type="continuationSeparator" w:id="0">
    <w:p w14:paraId="6F18F4F3" w14:textId="77777777" w:rsidR="00450F56" w:rsidRDefault="00450F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367E" w14:textId="434C4E87" w:rsidR="00A81EF9" w:rsidRPr="00234CB3" w:rsidRDefault="001760F6" w:rsidP="00A81EF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12FE1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proofErr w:type="gramStart"/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2022      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</w:t>
    </w:r>
    <w:r w:rsidR="00A81EF9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Strana</w:t>
    </w:r>
    <w:proofErr w:type="gramEnd"/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44AFC">
      <w:rPr>
        <w:rFonts w:ascii="Arial" w:eastAsia="Times New Roman" w:hAnsi="Arial" w:cs="Arial"/>
        <w:i/>
        <w:noProof/>
        <w:sz w:val="20"/>
        <w:szCs w:val="20"/>
        <w:lang w:eastAsia="cs-CZ"/>
      </w:rPr>
      <w:t>11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212FE1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039C811B" w14:textId="3C361483" w:rsidR="00A81EF9" w:rsidRPr="00234CB3" w:rsidRDefault="001760F6" w:rsidP="00A81EF9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34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A81EF9" w:rsidRPr="00234CB3">
      <w:rPr>
        <w:rFonts w:ascii="Arial" w:hAnsi="Arial" w:cs="Arial"/>
        <w:bCs/>
        <w:i/>
        <w:sz w:val="20"/>
        <w:szCs w:val="20"/>
      </w:rPr>
      <w:t>–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81EF9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A81EF9" w:rsidRPr="00234CB3">
      <w:rPr>
        <w:rFonts w:ascii="Arial" w:hAnsi="Arial" w:cs="Arial"/>
        <w:bCs/>
        <w:i/>
        <w:sz w:val="20"/>
        <w:szCs w:val="20"/>
      </w:rPr>
      <w:t>– vyh</w:t>
    </w:r>
    <w:r w:rsidR="00212FE1">
      <w:rPr>
        <w:rFonts w:ascii="Arial" w:hAnsi="Arial" w:cs="Arial"/>
        <w:bCs/>
        <w:i/>
        <w:sz w:val="20"/>
        <w:szCs w:val="20"/>
      </w:rPr>
      <w:t>odnoc</w:t>
    </w:r>
    <w:r w:rsidR="00A81EF9" w:rsidRPr="00234CB3">
      <w:rPr>
        <w:rFonts w:ascii="Arial" w:hAnsi="Arial" w:cs="Arial"/>
        <w:bCs/>
        <w:i/>
        <w:sz w:val="20"/>
        <w:szCs w:val="20"/>
      </w:rPr>
      <w:t xml:space="preserve">ení </w:t>
    </w:r>
  </w:p>
  <w:p w14:paraId="261189B4" w14:textId="170259FB" w:rsidR="00A81EF9" w:rsidRPr="00234CB3" w:rsidRDefault="00A81EF9" w:rsidP="00325C4D">
    <w:pPr>
      <w:ind w:left="0" w:firstLine="0"/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</w:t>
    </w:r>
    <w:r w:rsidR="00325C4D">
      <w:rPr>
        <w:rFonts w:ascii="Arial" w:hAnsi="Arial" w:cs="Arial"/>
        <w:i/>
        <w:sz w:val="20"/>
        <w:szCs w:val="20"/>
      </w:rPr>
      <w:t>3</w:t>
    </w:r>
    <w:r w:rsidRPr="00234CB3">
      <w:rPr>
        <w:rFonts w:ascii="Arial" w:hAnsi="Arial" w:cs="Arial"/>
        <w:i/>
        <w:sz w:val="20"/>
        <w:szCs w:val="20"/>
      </w:rPr>
      <w:t xml:space="preserve"> </w:t>
    </w:r>
    <w:r w:rsidR="00F02E3C">
      <w:rPr>
        <w:rFonts w:ascii="Arial" w:hAnsi="Arial" w:cs="Arial"/>
        <w:i/>
        <w:sz w:val="20"/>
        <w:szCs w:val="20"/>
      </w:rPr>
      <w:t xml:space="preserve">usnesení </w:t>
    </w:r>
    <w:r w:rsidRPr="00234CB3">
      <w:rPr>
        <w:rFonts w:ascii="Arial" w:hAnsi="Arial" w:cs="Arial"/>
        <w:i/>
        <w:sz w:val="20"/>
        <w:szCs w:val="20"/>
      </w:rPr>
      <w:t xml:space="preserve">– </w:t>
    </w:r>
    <w:r w:rsidR="005951F1" w:rsidRPr="005951F1">
      <w:rPr>
        <w:rFonts w:ascii="Arial" w:hAnsi="Arial" w:cs="Arial"/>
        <w:i/>
        <w:sz w:val="20"/>
        <w:szCs w:val="20"/>
      </w:rPr>
      <w:t>Vzorová veřejnoprávní smlouva o poskytnutí dotace na činnost právnickým osobám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9D92" w14:textId="77777777" w:rsidR="00450F56" w:rsidRDefault="00450F56" w:rsidP="00D40C40">
      <w:r>
        <w:separator/>
      </w:r>
    </w:p>
  </w:footnote>
  <w:footnote w:type="continuationSeparator" w:id="0">
    <w:p w14:paraId="48F231AF" w14:textId="77777777" w:rsidR="00450F56" w:rsidRDefault="00450F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A0B5" w14:textId="6B1531D5" w:rsidR="00E37E48" w:rsidRPr="00E37E48" w:rsidRDefault="00E37E48" w:rsidP="00E37E48">
    <w:pPr>
      <w:ind w:left="0" w:firstLine="0"/>
      <w:jc w:val="center"/>
      <w:rPr>
        <w:rFonts w:ascii="Arial" w:hAnsi="Arial" w:cs="Arial"/>
        <w:i/>
        <w:szCs w:val="20"/>
      </w:rPr>
    </w:pPr>
    <w:r w:rsidRPr="00E37E48">
      <w:rPr>
        <w:rFonts w:ascii="Arial" w:hAnsi="Arial" w:cs="Arial"/>
        <w:i/>
        <w:szCs w:val="20"/>
      </w:rPr>
      <w:t>Příloha č. 0</w:t>
    </w:r>
    <w:r w:rsidR="00325C4D">
      <w:rPr>
        <w:rFonts w:ascii="Arial" w:hAnsi="Arial" w:cs="Arial"/>
        <w:i/>
        <w:szCs w:val="20"/>
      </w:rPr>
      <w:t>3</w:t>
    </w:r>
    <w:r w:rsidRPr="00E37E48">
      <w:rPr>
        <w:rFonts w:ascii="Arial" w:hAnsi="Arial" w:cs="Arial"/>
        <w:i/>
        <w:szCs w:val="20"/>
      </w:rPr>
      <w:t xml:space="preserve"> </w:t>
    </w:r>
    <w:r w:rsidR="00F02E3C">
      <w:rPr>
        <w:rFonts w:ascii="Arial" w:hAnsi="Arial" w:cs="Arial"/>
        <w:i/>
        <w:szCs w:val="20"/>
      </w:rPr>
      <w:t xml:space="preserve">usnesení </w:t>
    </w:r>
    <w:r w:rsidRPr="00E37E48">
      <w:rPr>
        <w:rFonts w:ascii="Arial" w:hAnsi="Arial" w:cs="Arial"/>
        <w:i/>
        <w:szCs w:val="20"/>
      </w:rPr>
      <w:t>– Vzorová veřejnoprávní smlouva o poskytnutí dotace na </w:t>
    </w:r>
    <w:r w:rsidR="005951F1">
      <w:rPr>
        <w:rFonts w:ascii="Arial" w:hAnsi="Arial" w:cs="Arial"/>
        <w:i/>
        <w:szCs w:val="20"/>
      </w:rPr>
      <w:t>činnost právnickým osobám</w:t>
    </w:r>
  </w:p>
  <w:p w14:paraId="416D00CF" w14:textId="77777777" w:rsidR="00A81EF9" w:rsidRPr="00A81EF9" w:rsidRDefault="00A81EF9" w:rsidP="00A81EF9">
    <w:pPr>
      <w:pStyle w:val="Zhlav"/>
      <w:ind w:left="0" w:firstLine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7"/>
  </w:num>
  <w:num w:numId="8">
    <w:abstractNumId w:val="20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2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8"/>
  </w:num>
  <w:num w:numId="44">
    <w:abstractNumId w:val="13"/>
  </w:num>
  <w:num w:numId="4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310D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60F6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2FE1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5C4D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0F56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1F1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593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4AFC"/>
    <w:rsid w:val="0084606A"/>
    <w:rsid w:val="008463C9"/>
    <w:rsid w:val="0084700B"/>
    <w:rsid w:val="008519F9"/>
    <w:rsid w:val="008522D9"/>
    <w:rsid w:val="008525B2"/>
    <w:rsid w:val="008556B1"/>
    <w:rsid w:val="0085615A"/>
    <w:rsid w:val="00860FFF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35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1EF9"/>
    <w:rsid w:val="00A821AE"/>
    <w:rsid w:val="00A82275"/>
    <w:rsid w:val="00A82E58"/>
    <w:rsid w:val="00A85253"/>
    <w:rsid w:val="00A872EF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2FF2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65988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5A4C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48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2E3C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30A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Default">
    <w:name w:val="Default"/>
    <w:rsid w:val="0016310D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D822-744F-458A-B0B0-3F17CD28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4678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Tomková Petra</cp:lastModifiedBy>
  <cp:revision>7</cp:revision>
  <cp:lastPrinted>2018-08-24T12:55:00Z</cp:lastPrinted>
  <dcterms:created xsi:type="dcterms:W3CDTF">2022-11-29T06:43:00Z</dcterms:created>
  <dcterms:modified xsi:type="dcterms:W3CDTF">2022-12-06T06:52:00Z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