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93D246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3135B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ŘÍSPĚVKOVÉ ORGANIZACI</w:t>
      </w:r>
      <w:r w:rsidR="0061541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15418">
        <w:rPr>
          <w:rFonts w:ascii="Arial" w:eastAsia="Times New Roman" w:hAnsi="Arial" w:cs="Arial"/>
          <w:lang w:eastAsia="cs-CZ"/>
        </w:rPr>
        <w:t>/Vzor 9/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</w:t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696803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6728FB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7DD97EE" w:rsidR="00E62519" w:rsidRPr="00E62519" w:rsidRDefault="00732FE6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3FF58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4C0C5AC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A3B9A5B" w14:textId="5CA93B8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0B9D7F3C" w14:textId="281FE2D5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2B5D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ABD652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D125DF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00565FEF" w14:textId="07DD1839" w:rsidR="00D125DF" w:rsidRPr="00285125" w:rsidRDefault="00D125DF" w:rsidP="00D125D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na ……….........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;neprovádí</w:t>
      </w:r>
      <w:proofErr w:type="spellEnd"/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2E566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akce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</w:t>
      </w:r>
      <w:r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ého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schválené žádosti – tzn. v tabulce žadatelů v materiálu, schváleném řídícím orgánem. Zde uvedený text odpovídá obsahu sloupce</w:t>
      </w:r>
      <w:r w:rsidR="002E566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Název akce/činnosti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F94768F" w:rsidR="009A3DA5" w:rsidRDefault="00633344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3D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 xml:space="preserve"> uvedeného v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>záhlaví této smlouvy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2578E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D257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D257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D2578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43C7F08" w14:textId="5E3FE998" w:rsidR="000559FC" w:rsidRPr="003135BA" w:rsidRDefault="000559FC" w:rsidP="000559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…………………………, </w:t>
      </w:r>
      <w:r w:rsidR="007545D3" w:rsidRPr="003135BA">
        <w:rPr>
          <w:rFonts w:ascii="Arial" w:eastAsia="Times New Roman" w:hAnsi="Arial" w:cs="Arial"/>
          <w:sz w:val="24"/>
          <w:szCs w:val="24"/>
          <w:lang w:eastAsia="cs-CZ"/>
        </w:rPr>
        <w:t>IČO: ……………………………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</w:t>
      </w:r>
      <w:r w:rsidR="00D2578E" w:rsidRPr="003135B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malého rozsahu (podpory de </w:t>
      </w:r>
      <w:proofErr w:type="spellStart"/>
      <w:r w:rsidR="00D2578E" w:rsidRPr="003135B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2578E" w:rsidRPr="003135B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  <w:r w:rsidR="00D2578E" w:rsidRPr="003135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konkrétního případu)</w:t>
      </w:r>
    </w:p>
    <w:p w14:paraId="3C9258D1" w14:textId="1C86F3BC" w:rsidR="009A3DA5" w:rsidRPr="003135B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3135B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A9244F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48588C0B" w14:textId="114001A6" w:rsidR="00DF3AEF" w:rsidRPr="00FE565F" w:rsidRDefault="00DF3AEF" w:rsidP="00DF3AE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A037F09" w14:textId="77777777" w:rsidR="00C65FCD" w:rsidRPr="00FE565F" w:rsidRDefault="00C65FCD" w:rsidP="00DF3AE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F26990" w14:textId="77777777" w:rsidR="00DF3AEF" w:rsidRPr="00FE565F" w:rsidRDefault="00DF3AEF" w:rsidP="00DF3A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CC8A954" w14:textId="21C95F0F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 410/2009 Sb., kterou se provádějí některá ustanovení zákona č. 563/1991 </w:t>
      </w:r>
      <w:r w:rsidRPr="00FE56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Sb., o účetnictví, ve znění pozdějších předpisů, pro některé vybrané účetní jednotky (dále jen „cit. vyhláška“), </w:t>
      </w:r>
    </w:p>
    <w:p w14:paraId="3914EA8F" w14:textId="77777777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72775147" w14:textId="4CFE5FF0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</w:t>
      </w:r>
      <w:r w:rsidR="003135BA" w:rsidRPr="00FE565F">
        <w:rPr>
          <w:rFonts w:ascii="Arial" w:eastAsia="Times New Roman" w:hAnsi="Arial" w:cs="Arial"/>
          <w:sz w:val="24"/>
          <w:szCs w:val="24"/>
          <w:lang w:eastAsia="cs-CZ"/>
        </w:rPr>
        <w:t>í a modernizací</w:t>
      </w:r>
      <w:r w:rsidRPr="00FE56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66760F1F" w:rsidR="009A3DA5" w:rsidRDefault="00DF3AEF" w:rsidP="00DF3AE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</w:t>
      </w:r>
      <w:r w:rsidRPr="003379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ouži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768B33FF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1203362" w14:textId="77777777" w:rsidR="00D125DF" w:rsidRPr="003135BA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</w:t>
      </w: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případě odchylného znění Zásad a této smlouvy mají přednost ustanovení této smlouvy.</w:t>
      </w:r>
    </w:p>
    <w:p w14:paraId="3C9258D9" w14:textId="42079B30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135B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135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</w:t>
      </w:r>
      <w:r w:rsidR="00A9244F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musí být přesně vymezeny uznatelné výdaje,</w:t>
      </w:r>
      <w:r w:rsidR="00B518DC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na jejichž úhradu</w:t>
      </w:r>
      <w:r w:rsidR="00F93004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A9244F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7D26035" w14:textId="6452BA83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2E566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4719A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C1500F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056CBC8" w14:textId="77777777" w:rsidR="00020934" w:rsidRDefault="00020934" w:rsidP="000209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3CD46A02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3BF3AAF7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0DF29036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D933039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2ADD4ED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61CE2FE2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3E0FDC40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01816A5B" w:rsidR="009A3DA5" w:rsidRPr="006D7F30" w:rsidRDefault="00020934" w:rsidP="00020934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4FCB0173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 Změna příjemce je možná pouze  v př</w:t>
      </w:r>
      <w:r w:rsidR="00936977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E3E5C6A" w14:textId="69561E67" w:rsidR="00D125DF" w:rsidRPr="00B6510E" w:rsidRDefault="00D125DF" w:rsidP="00D125D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F26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2E5669"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0871421D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</w:t>
      </w:r>
      <w:r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úhradu </w:t>
      </w:r>
      <w:r w:rsidR="003D1870" w:rsidRPr="000427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7C27BE3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10725393" w14:textId="2265C510" w:rsidR="00473051" w:rsidRPr="00841ADB" w:rsidRDefault="00473051" w:rsidP="0047305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936977">
        <w:rPr>
          <w:rFonts w:ascii="Arial" w:hAnsi="Arial" w:cs="Arial"/>
          <w:i/>
          <w:color w:val="0000FF"/>
          <w:sz w:val="24"/>
          <w:szCs w:val="24"/>
        </w:rPr>
        <w:t>l</w:t>
      </w:r>
      <w:r w:rsidRPr="00A31818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4719A8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4E4ECFB" w14:textId="1F898846" w:rsidR="00D125DF" w:rsidRPr="00841ADB" w:rsidRDefault="00D125DF" w:rsidP="00D125D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pro použití dotace, je nutné, 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aby lhůta pro vyn</w:t>
      </w:r>
      <w:r w:rsidR="008C37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pro</w:t>
      </w:r>
      <w:r w:rsid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06E8CBBF" w14:textId="0EFD49C8" w:rsidR="00CA336B" w:rsidRDefault="00CA336B" w:rsidP="00CA336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B8033D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272320A5" w14:textId="77777777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A80FD2" w14:textId="77777777" w:rsidR="00473051" w:rsidRPr="009D0F79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738F68" w14:textId="78255894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5F515163" w14:textId="09DE93FB" w:rsidR="00473051" w:rsidRPr="002A2634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4DAC1D2E" w14:textId="77777777" w:rsidR="00473051" w:rsidRPr="00841ADB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5EE83BDC" w:rsidR="00CB5336" w:rsidRPr="00696A9F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8CFDA78" w14:textId="357F7FC4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povinen nejpozději do ......... předložit poskytovateli vyúčtování poskytnuté dotace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RAP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 o poskytnutí této dotace</w:t>
      </w:r>
      <w:r w:rsidR="003135BA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9244F"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 přednostně datovou schránku. V případě</w:t>
      </w:r>
      <w:r w:rsidR="00A9244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A924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EEA66FD" w14:textId="454F7495" w:rsidR="00935449" w:rsidRPr="00D05376" w:rsidRDefault="00935449" w:rsidP="0093544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2E5669">
        <w:rPr>
          <w:rFonts w:ascii="Arial" w:hAnsi="Arial" w:cs="Arial"/>
          <w:color w:val="0000FF"/>
          <w:sz w:val="24"/>
          <w:szCs w:val="24"/>
        </w:rPr>
        <w:t xml:space="preserve"> </w:t>
      </w:r>
      <w:r w:rsidR="002E5669">
        <w:rPr>
          <w:rFonts w:ascii="Arial" w:hAnsi="Arial" w:cs="Arial"/>
          <w:color w:val="0000FF"/>
          <w:sz w:val="24"/>
          <w:szCs w:val="24"/>
        </w:rPr>
        <w:t>příjmy z pronájmu prostor na akci</w:t>
      </w:r>
      <w:r w:rsidR="002E5669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61848BD5" w:rsidR="00A9730D" w:rsidRPr="00320F5A" w:rsidRDefault="00935449" w:rsidP="00935449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391D7C00" w14:textId="5BD4E9F8" w:rsidR="00935449" w:rsidRPr="00822CBA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je zveřejněn v systému RAP</w:t>
      </w:r>
      <w:r w:rsidR="002E566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2F494B" w14:textId="7B129E88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8A229DC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17F1B7C2" w14:textId="33D86226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>předložení vyúčtování předloží příjemce poskytovateli také závěrečnou zprávu, a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44F" w:rsidRPr="00DE30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</w:t>
      </w:r>
      <w:r w:rsidR="007545D3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je nutné zde stanovit jiný vhodný způsob doručení závěrečné zprávy</w:t>
      </w:r>
      <w:r w:rsidR="00A9244F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726C632" w14:textId="7E9BA045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0" w:name="_Hlk62669607"/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B649D6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bookmarkEnd w:id="0"/>
      <w:r w:rsidR="00B649D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</w:t>
      </w:r>
      <w:r w:rsidR="008A3F8C" w:rsidRPr="00DE30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 Kč</w:t>
      </w:r>
      <w:r w:rsidR="007545D3" w:rsidRPr="00DE30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</w:t>
      </w:r>
      <w:r w:rsidR="007545D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8B0C2AB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FB1CBA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014FA9AB" w14:textId="645D3AB9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01EA269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4C9546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C4CAFE7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072831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0C2BB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B649D6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D7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35449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FB1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9A69AFB" w14:textId="757B82C5" w:rsidR="00935449" w:rsidRPr="002E5669" w:rsidRDefault="00935449" w:rsidP="00935449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10 se vždy zvolí vhodný způsob propagace, a to s ohledem na typ </w:t>
      </w:r>
      <w:r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akce, výši </w:t>
      </w:r>
      <w:r w:rsidR="00D65A60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poskytované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23F4351D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7C26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="002E5669" w:rsidRPr="002E566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64E2BF0" w:rsidR="004514E3" w:rsidRPr="00CC0204" w:rsidRDefault="00D73BE2" w:rsidP="00AF207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</w:t>
      </w:r>
      <w:r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65A60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53DA542" w:rsidR="00170EC7" w:rsidRPr="00170EC7" w:rsidRDefault="004C4536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380ED9A9" w14:textId="77777777" w:rsidR="00D65A60" w:rsidRPr="00DE3086" w:rsidRDefault="00D65A60" w:rsidP="00D65A60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0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DE30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E30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8DDE1B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C453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32460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F443A2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4F9B318A" w14:textId="163F1C90" w:rsidR="00F9155D" w:rsidRPr="007A2FA4" w:rsidRDefault="00F9155D" w:rsidP="007A2FA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</w:t>
      </w:r>
      <w:r w:rsid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 zřizovatele s přijetím dotace.</w:t>
      </w:r>
      <w:r w:rsidR="007A2FA4" w:rsidRP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bude smlouva uzavírána elektronicky, bude toto ustanovení znít: </w:t>
      </w:r>
      <w:r w:rsidR="007A2FA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2" w:name="_Hlk118839585"/>
      <w:r w:rsidR="00DE308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Smlouvu mezi příjemcem a poskytovatelem se doporučuje přednostně uzavírat v elektronické podobě.</w:t>
      </w:r>
      <w:bookmarkEnd w:id="2"/>
    </w:p>
    <w:p w14:paraId="3C925923" w14:textId="5572835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A2FA4" w:rsidRPr="007A2F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354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="0093544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elektronicky (viz čl. 3 část A odst. 4  písm. b) Zásad). V tomto případě bude ze smlouvy vypuštěna i následující podpisová část, místo které bude uveden text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935449"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452D0"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 akceptace prostřednictvím datových schránek smluvních stran.“</w:t>
      </w:r>
    </w:p>
    <w:p w14:paraId="3C925924" w14:textId="03F3BF07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512083E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2578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D2578E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5AF0D137" w14:textId="300A9F6C" w:rsidR="00935449" w:rsidRPr="006A566F" w:rsidRDefault="00935449" w:rsidP="00935449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1647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2E5669"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2E56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2928D93C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1FD800E3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369ED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3358A6D" w14:textId="1B3D68FC" w:rsidR="00D65A60" w:rsidRDefault="00D65A60" w:rsidP="00D65A6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této dotace</w:t>
      </w:r>
      <w:r w:rsidR="008E6530"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 přednostně datovou schránku.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BB3F1ED" w:rsidR="00FE3DFD" w:rsidRPr="00320F5A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0F5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EF840ED" w14:textId="6B6F52A5" w:rsidR="00935449" w:rsidRPr="00D571FB" w:rsidRDefault="00935449" w:rsidP="00935449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70DE8090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3544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93544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935449"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</w:t>
      </w:r>
      <w:r w:rsidR="009354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4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34977795" w14:textId="624D5B9B" w:rsidR="00D65A60" w:rsidRPr="002E5669" w:rsidRDefault="00D65A60" w:rsidP="00D65A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E65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</w:t>
      </w:r>
      <w:r w:rsidR="00F452D0" w:rsidRPr="008E65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přílohy závěrečné zprávy) je nutné zde stanovit jiný vhodný způsob doručení závěrečné zprávy.</w:t>
      </w:r>
    </w:p>
    <w:p w14:paraId="5F5CF718" w14:textId="243618A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5" w:name="_Hlk62675352"/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7369ED" w:rsidRPr="0032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bookmarkEnd w:id="5"/>
      <w:r w:rsidR="007369E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A7DE06A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F392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020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BCB7" w14:textId="77777777" w:rsidR="0077268D" w:rsidRDefault="0077268D" w:rsidP="00D40C40">
      <w:r>
        <w:separator/>
      </w:r>
    </w:p>
  </w:endnote>
  <w:endnote w:type="continuationSeparator" w:id="0">
    <w:p w14:paraId="375BFE09" w14:textId="77777777" w:rsidR="0077268D" w:rsidRDefault="007726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8923" w14:textId="77777777" w:rsidR="00CB5E16" w:rsidRDefault="00CB5E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1987" w14:textId="3EC23032" w:rsidR="0022208E" w:rsidRDefault="009C693D" w:rsidP="0022208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ab/>
      <w:t xml:space="preserve">Strana </w:t>
    </w:r>
    <w:r w:rsidR="0022208E" w:rsidRPr="005F35C5">
      <w:rPr>
        <w:rFonts w:ascii="Arial" w:hAnsi="Arial" w:cs="Arial"/>
        <w:i/>
        <w:sz w:val="20"/>
        <w:szCs w:val="20"/>
      </w:rPr>
      <w:fldChar w:fldCharType="begin"/>
    </w:r>
    <w:r w:rsidR="0022208E" w:rsidRPr="005F35C5">
      <w:rPr>
        <w:rFonts w:ascii="Arial" w:hAnsi="Arial" w:cs="Arial"/>
        <w:i/>
        <w:sz w:val="20"/>
        <w:szCs w:val="20"/>
      </w:rPr>
      <w:instrText>PAGE   \* MERGEFORMAT</w:instrText>
    </w:r>
    <w:r w:rsidR="0022208E" w:rsidRPr="005F35C5">
      <w:rPr>
        <w:rFonts w:ascii="Arial" w:hAnsi="Arial" w:cs="Arial"/>
        <w:i/>
        <w:sz w:val="20"/>
        <w:szCs w:val="20"/>
      </w:rPr>
      <w:fldChar w:fldCharType="separate"/>
    </w:r>
    <w:r w:rsidR="00CB5E16">
      <w:rPr>
        <w:rFonts w:ascii="Arial" w:hAnsi="Arial" w:cs="Arial"/>
        <w:i/>
        <w:noProof/>
        <w:sz w:val="20"/>
        <w:szCs w:val="20"/>
      </w:rPr>
      <w:t>117</w:t>
    </w:r>
    <w:r w:rsidR="0022208E" w:rsidRPr="005F35C5">
      <w:rPr>
        <w:rFonts w:ascii="Arial" w:hAnsi="Arial" w:cs="Arial"/>
        <w:i/>
        <w:sz w:val="20"/>
        <w:szCs w:val="20"/>
      </w:rPr>
      <w:fldChar w:fldCharType="end"/>
    </w:r>
    <w:r w:rsidR="00AF3DDC">
      <w:rPr>
        <w:rFonts w:ascii="Arial" w:hAnsi="Arial" w:cs="Arial"/>
        <w:i/>
        <w:sz w:val="20"/>
        <w:szCs w:val="20"/>
      </w:rPr>
      <w:t xml:space="preserve"> (celkem 170</w:t>
    </w:r>
    <w:r w:rsidR="003019ED">
      <w:rPr>
        <w:rFonts w:ascii="Arial" w:hAnsi="Arial" w:cs="Arial"/>
        <w:i/>
        <w:sz w:val="20"/>
        <w:szCs w:val="20"/>
      </w:rPr>
      <w:t>)</w:t>
    </w:r>
  </w:p>
  <w:p w14:paraId="635242AE" w14:textId="0675E5CB" w:rsidR="0022208E" w:rsidRPr="00B378BC" w:rsidRDefault="00CB5E16" w:rsidP="0022208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bookmarkStart w:id="6" w:name="_GoBack"/>
    <w:bookmarkEnd w:id="6"/>
    <w:r w:rsidR="00283DFA" w:rsidRPr="009374FD">
      <w:rPr>
        <w:rFonts w:ascii="Arial" w:hAnsi="Arial" w:cs="Arial"/>
        <w:i/>
        <w:sz w:val="20"/>
        <w:szCs w:val="20"/>
      </w:rPr>
      <w:t xml:space="preserve">. – </w:t>
    </w:r>
    <w:r w:rsidR="000241A3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 xml:space="preserve"> </w:t>
    </w:r>
  </w:p>
  <w:p w14:paraId="37BA5330" w14:textId="3F02E33C" w:rsidR="00D20B9A" w:rsidRPr="00BD19E1" w:rsidRDefault="0022208E" w:rsidP="0022208E">
    <w:r w:rsidRPr="008469AD">
      <w:rPr>
        <w:rFonts w:ascii="Arial" w:hAnsi="Arial" w:cs="Arial"/>
        <w:bCs/>
        <w:i/>
        <w:sz w:val="20"/>
        <w:szCs w:val="20"/>
      </w:rPr>
      <w:t>Příloha</w:t>
    </w:r>
    <w:r>
      <w:rPr>
        <w:rFonts w:ascii="Arial" w:hAnsi="Arial" w:cs="Arial"/>
        <w:bCs/>
        <w:i/>
        <w:sz w:val="20"/>
        <w:szCs w:val="20"/>
      </w:rPr>
      <w:t xml:space="preserve"> č. 10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22208E">
      <w:rPr>
        <w:rFonts w:ascii="Arial" w:hAnsi="Arial" w:cs="Arial"/>
        <w:bCs/>
        <w:i/>
        <w:sz w:val="20"/>
        <w:szCs w:val="20"/>
      </w:rPr>
      <w:t>Vzorová veřejnoprávní smlouva o poskytnutí individuální dotace na akci příspěvkovým organizacím (jiných zřizovatelů)</w:t>
    </w:r>
    <w:r>
      <w:rPr>
        <w:rFonts w:ascii="Arial" w:hAnsi="Arial" w:cs="Arial"/>
        <w:bCs/>
        <w:sz w:val="24"/>
        <w:szCs w:val="24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CA79" w14:textId="77777777" w:rsidR="0077268D" w:rsidRDefault="0077268D" w:rsidP="00D40C40">
      <w:r>
        <w:separator/>
      </w:r>
    </w:p>
  </w:footnote>
  <w:footnote w:type="continuationSeparator" w:id="0">
    <w:p w14:paraId="19367975" w14:textId="77777777" w:rsidR="0077268D" w:rsidRDefault="007726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A534" w14:textId="77777777" w:rsidR="00CB5E16" w:rsidRDefault="00CB5E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475A" w14:textId="77777777" w:rsidR="00CB5E16" w:rsidRDefault="00CB5E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1BCB" w14:textId="77777777" w:rsidR="00CB5E16" w:rsidRDefault="00CB5E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70C484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0934"/>
    <w:rsid w:val="000241A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5BA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32767"/>
    <w:rsid w:val="00332FD6"/>
    <w:rsid w:val="0033568D"/>
    <w:rsid w:val="00337990"/>
    <w:rsid w:val="00337CC7"/>
    <w:rsid w:val="003407BA"/>
    <w:rsid w:val="00340F20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55C3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89D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45D3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8A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72D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530"/>
    <w:rsid w:val="008F03FB"/>
    <w:rsid w:val="008F1173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6977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693D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244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3DDC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5E16"/>
    <w:rsid w:val="00CB66EB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A60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6346"/>
    <w:rsid w:val="00DE0950"/>
    <w:rsid w:val="00DE14CA"/>
    <w:rsid w:val="00DE16F7"/>
    <w:rsid w:val="00DE3086"/>
    <w:rsid w:val="00DE3DE3"/>
    <w:rsid w:val="00DE60A9"/>
    <w:rsid w:val="00DF0122"/>
    <w:rsid w:val="00DF0851"/>
    <w:rsid w:val="00DF119D"/>
    <w:rsid w:val="00DF1D13"/>
    <w:rsid w:val="00DF2E4F"/>
    <w:rsid w:val="00DF3AE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52D0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65F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F4B8-A78E-4619-AB16-548FA554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5240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Balabuchová Jana</cp:lastModifiedBy>
  <cp:revision>55</cp:revision>
  <cp:lastPrinted>2021-01-28T09:49:00Z</cp:lastPrinted>
  <dcterms:created xsi:type="dcterms:W3CDTF">2019-09-02T13:25:00Z</dcterms:created>
  <dcterms:modified xsi:type="dcterms:W3CDTF">2022-11-22T10:32:00Z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