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0DC45" w14:textId="77777777" w:rsidR="006A5B44" w:rsidRPr="003C24F8" w:rsidRDefault="006A5B44" w:rsidP="006A5B44">
      <w:pPr>
        <w:jc w:val="right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 do výše 35 tis. Kč bez zveřejnění a bez spoluúčasti</w:t>
      </w:r>
    </w:p>
    <w:p w14:paraId="45FE7651" w14:textId="4E07825C" w:rsidR="00A97BE7" w:rsidRPr="003C24F8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3C24F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3C24F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3C24F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3C24F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6D28BA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</w:p>
    <w:p w14:paraId="3C9258B8" w14:textId="0ED63434" w:rsidR="009A3DA5" w:rsidRPr="003C24F8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3C24F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C24F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3C24F8">
        <w:rPr>
          <w:rFonts w:ascii="Arial" w:eastAsia="Times New Roman" w:hAnsi="Arial" w:cs="Arial"/>
          <w:lang w:eastAsia="cs-CZ"/>
        </w:rPr>
        <w:t>500/2004</w:t>
      </w:r>
      <w:r w:rsidRPr="003C24F8">
        <w:rPr>
          <w:rFonts w:ascii="Arial" w:eastAsia="Times New Roman" w:hAnsi="Arial" w:cs="Arial"/>
          <w:lang w:eastAsia="cs-CZ"/>
        </w:rPr>
        <w:t> </w:t>
      </w:r>
      <w:r w:rsidR="009A3DA5" w:rsidRPr="003C24F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3C24F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3C24F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3C24F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3C24F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3C24F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3C24F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C24F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3C24F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DE250FB" w:rsidR="00E62519" w:rsidRPr="003C24F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E0B27">
        <w:rPr>
          <w:rFonts w:ascii="Arial" w:eastAsia="Times New Roman" w:hAnsi="Arial" w:cs="Arial"/>
          <w:sz w:val="24"/>
          <w:szCs w:val="24"/>
          <w:lang w:eastAsia="cs-CZ"/>
        </w:rPr>
        <w:t xml:space="preserve">Ing. Josefem Suchánkem, </w:t>
      </w:r>
      <w:r w:rsidR="00EE0B27" w:rsidRPr="000D5492">
        <w:rPr>
          <w:rFonts w:ascii="Arial" w:eastAsia="Times New Roman" w:hAnsi="Arial" w:cs="Arial"/>
          <w:sz w:val="24"/>
          <w:szCs w:val="24"/>
          <w:lang w:eastAsia="cs-CZ"/>
        </w:rPr>
        <w:t xml:space="preserve">hejtmanem </w:t>
      </w:r>
    </w:p>
    <w:p w14:paraId="78724EBB" w14:textId="77777777" w:rsidR="006A5B44" w:rsidRPr="003C24F8" w:rsidRDefault="006A5B44" w:rsidP="006A5B44">
      <w:pPr>
        <w:spacing w:after="120"/>
        <w:rPr>
          <w:rFonts w:ascii="Arial" w:hAnsi="Arial" w:cs="Arial"/>
          <w:sz w:val="24"/>
          <w:szCs w:val="24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24F8">
        <w:rPr>
          <w:rFonts w:ascii="Arial" w:hAnsi="Arial" w:cs="Arial"/>
          <w:sz w:val="24"/>
          <w:szCs w:val="24"/>
        </w:rPr>
        <w:t>Komerční banka, a.s.</w:t>
      </w:r>
    </w:p>
    <w:p w14:paraId="544358B0" w14:textId="77777777" w:rsidR="006A5B44" w:rsidRPr="003C24F8" w:rsidRDefault="006A5B44" w:rsidP="006A5B4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3C24F8">
        <w:rPr>
          <w:rFonts w:ascii="Arial" w:hAnsi="Arial" w:cs="Arial"/>
          <w:sz w:val="24"/>
          <w:szCs w:val="24"/>
        </w:rPr>
        <w:t>ú.</w:t>
      </w:r>
      <w:proofErr w:type="spellEnd"/>
      <w:r w:rsidRPr="003C24F8">
        <w:rPr>
          <w:rFonts w:ascii="Arial" w:hAnsi="Arial" w:cs="Arial"/>
          <w:sz w:val="24"/>
          <w:szCs w:val="24"/>
        </w:rPr>
        <w:t xml:space="preserve"> 27-4228120277/0100</w:t>
      </w:r>
    </w:p>
    <w:p w14:paraId="54559463" w14:textId="063586C1" w:rsidR="00E62519" w:rsidRPr="003C24F8" w:rsidRDefault="00E62519" w:rsidP="006A5B4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C24F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3C24F8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3C24F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3C24F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3C24F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3C24F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3C24F8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3C24F8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3C24F8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</w:t>
      </w:r>
      <w:bookmarkStart w:id="0" w:name="_GoBack"/>
      <w:bookmarkEnd w:id="0"/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ace:</w:t>
      </w:r>
    </w:p>
    <w:p w14:paraId="3C9258CD" w14:textId="77777777" w:rsidR="009A3DA5" w:rsidRPr="003C24F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3C24F8" w:rsidRDefault="009A3DA5" w:rsidP="00A147FC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......... ko</w:t>
      </w:r>
      <w:r w:rsidR="006C5BC4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run českých</w:t>
      </w:r>
      <w:r w:rsidR="006C5BC4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D03F07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715554A" w:rsidR="009A3DA5" w:rsidRPr="003C24F8" w:rsidRDefault="009A3DA5" w:rsidP="00A147FC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C24F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5B44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pořízení, technické zhodnocení a opravu požární techniky a nákup věcného vybavení a </w:t>
      </w:r>
      <w:r w:rsidR="006A5B44"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zajištění akceschopnosti jednotky sboru dobrovolných hasičů </w:t>
      </w:r>
      <w:r w:rsidR="006A5B44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…název jednotky….</w:t>
      </w:r>
      <w:r w:rsidR="006A5B44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6A5B44" w:rsidRPr="003C24F8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="006A5B44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příjemcem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</w:t>
      </w:r>
      <w:r w:rsidR="00E32B3B" w:rsidRPr="003C24F8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D0" w14:textId="7C86FAB0" w:rsidR="009A3DA5" w:rsidRPr="003C24F8" w:rsidRDefault="009A3DA5" w:rsidP="00A147FC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C24F8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C24F8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C24F8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C24F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C24F8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C24F8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C24F8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Pro potřeby veřejné podpory – podpory malého rozsahu (podpory de </w:t>
      </w:r>
      <w:proofErr w:type="spellStart"/>
      <w:r w:rsidR="00F8563D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="00F8563D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 se za den poskytnutí dotace považuje den, kdy tato smlouva nabyde účinnosti.</w:t>
      </w:r>
      <w:r w:rsidR="00F8563D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372DE5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(specifikuje se dle dotačního </w:t>
      </w:r>
      <w:r w:rsidR="00825371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programu/</w:t>
      </w:r>
      <w:r w:rsidR="00372DE5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titulu)</w:t>
      </w:r>
      <w:r w:rsidR="006A5B44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.</w:t>
      </w:r>
      <w:r w:rsidR="006A5B44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použito pouze v případě poskytnutí veřejné podpory)</w:t>
      </w:r>
    </w:p>
    <w:p w14:paraId="3C9258D1" w14:textId="216D8D5C" w:rsidR="009A3DA5" w:rsidRPr="003C24F8" w:rsidRDefault="009A3DA5" w:rsidP="00A147FC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A5B44"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A5B44"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="006A5B44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="006A5B44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="006A5B44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="006A5B44"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6A5B44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="006A5B44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="006A5B44"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příjemce).</w:t>
      </w:r>
    </w:p>
    <w:p w14:paraId="3C9258D2" w14:textId="7BDFD732" w:rsidR="009A3DA5" w:rsidRPr="003C24F8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89541F" w:rsidRPr="003C24F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89541F" w:rsidRPr="003C24F8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3C24F8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3C24F8" w:rsidRDefault="009A3DA5" w:rsidP="00A147FC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9209DB" w:rsidRPr="003C24F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9209DB" w:rsidRPr="003C24F8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3C24F8" w:rsidRDefault="009A3DA5" w:rsidP="00A147FC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3C24F8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694EA7" w:rsidRPr="003C24F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3C24F8" w:rsidRDefault="009A3DA5" w:rsidP="00A147FC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3C24F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2688F95" w:rsidR="00001074" w:rsidRPr="003C24F8" w:rsidRDefault="009A3DA5" w:rsidP="00A147FC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3C24F8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proofErr w:type="spellStart"/>
      <w:r w:rsidR="001A2BE0" w:rsidRPr="003C24F8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="001A2BE0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na podporu JSDH 2023</w:t>
      </w:r>
      <w:r w:rsidR="00ED68BB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1A2BE0" w:rsidRPr="003C24F8">
        <w:rPr>
          <w:rFonts w:ascii="Arial" w:hAnsi="Arial" w:cs="Arial"/>
          <w:sz w:val="24"/>
          <w:szCs w:val="24"/>
        </w:rPr>
        <w:t>13_02_01_Dotace na pořízení, technické zhodnocení a opravu požární techniky, nákup věcného vybavení a zajištění akceschopnosti JSDH obcí Olomouckého kraje 2023</w:t>
      </w:r>
      <w:r w:rsidR="00ED68BB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44A4395" w:rsidR="00986793" w:rsidRPr="003C24F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77777777" w:rsidR="00645B75" w:rsidRPr="003C24F8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C24F8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C24F8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Zde musí být přesně vymezeny uznatelné výdaje, na jejichž úhradu lze dotaci pouze použít (viz odst. </w:t>
      </w:r>
      <w:r w:rsidR="009438E8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5.4 písm. c) a odst. </w:t>
      </w:r>
      <w:r w:rsidR="00BD130A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10.5</w:t>
      </w:r>
      <w:r w:rsidR="00F055DC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Pravidel)</w:t>
      </w:r>
      <w:r w:rsidR="00AF468D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  <w:r w:rsidR="00645B75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645B75" w:rsidRPr="003C24F8">
        <w:rPr>
          <w:rFonts w:ascii="Arial" w:hAnsi="Arial" w:cs="Arial"/>
          <w:i/>
          <w:iCs/>
          <w:sz w:val="24"/>
          <w:szCs w:val="24"/>
          <w:highlight w:val="lightGray"/>
          <w:lang w:eastAsia="cs-CZ"/>
        </w:rPr>
        <w:t xml:space="preserve">Zde uvedené vymezení uznatelných výdajů odpovídá obsahu tabulky materiálu řídícího orgánu, kterým bylo </w:t>
      </w:r>
      <w:r w:rsidR="00645B75" w:rsidRPr="003C24F8">
        <w:rPr>
          <w:rFonts w:ascii="Arial" w:hAnsi="Arial" w:cs="Arial"/>
          <w:i/>
          <w:iCs/>
          <w:sz w:val="24"/>
          <w:szCs w:val="24"/>
          <w:highlight w:val="lightGray"/>
          <w:lang w:eastAsia="cs-CZ"/>
        </w:rPr>
        <w:lastRenderedPageBreak/>
        <w:t>schváleno poskytnutí dotace (sloupec Účel použití dotace na akci/projekt/konkrétní účel).</w:t>
      </w:r>
    </w:p>
    <w:p w14:paraId="6D421C15" w14:textId="77777777" w:rsidR="003E0A08" w:rsidRPr="003C24F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C24F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C24F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C24F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3C24F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26868C3" w:rsidR="009A3DA5" w:rsidRPr="003C24F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72448111" w:rsidR="001455CD" w:rsidRPr="003C24F8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C24F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C24F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C24F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C24F8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C24F8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C24F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C24F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C24F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C24F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C24F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C24F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C24F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C24F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C24F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3C24F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3C24F8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410C39A8" w:rsidR="009A3DA5" w:rsidRPr="003C24F8" w:rsidRDefault="009A3DA5" w:rsidP="00221034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1A2BE0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30. 11. 2023</w:t>
      </w:r>
      <w:r w:rsidR="009A4F51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1A2BE0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1. 1. 2023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Pr="003C24F8" w:rsidRDefault="009A3DA5" w:rsidP="00A147F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FAA8DE2" w:rsidR="009A3DA5" w:rsidRPr="003C24F8" w:rsidRDefault="009A3DA5" w:rsidP="00A147FC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A2BE0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11. 12. 2023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3C24F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3C24F8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3C24F8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 w:rsidRPr="003C24F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3C24F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3C24F8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3C24F8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3C24F8" w:rsidRDefault="00F32B92" w:rsidP="00A147FC">
      <w:pPr>
        <w:pStyle w:val="Odstavecseseznamem"/>
        <w:numPr>
          <w:ilvl w:val="1"/>
          <w:numId w:val="6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3C24F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3C24F8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C24F8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3C24F8">
        <w:rPr>
          <w:rFonts w:ascii="Arial" w:hAnsi="Arial" w:cs="Arial"/>
          <w:sz w:val="24"/>
          <w:szCs w:val="24"/>
        </w:rPr>
        <w:t>10.</w:t>
      </w:r>
      <w:r w:rsidR="004F66DA" w:rsidRPr="003C24F8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3C24F8">
        <w:rPr>
          <w:rFonts w:ascii="Arial" w:hAnsi="Arial" w:cs="Arial"/>
          <w:sz w:val="24"/>
          <w:szCs w:val="24"/>
        </w:rPr>
        <w:t xml:space="preserve"> Pravidel</w:t>
      </w:r>
      <w:r w:rsidR="00840C0F" w:rsidRPr="003C24F8">
        <w:rPr>
          <w:rFonts w:ascii="Arial" w:hAnsi="Arial" w:cs="Arial"/>
          <w:sz w:val="24"/>
          <w:szCs w:val="24"/>
        </w:rPr>
        <w:t>.</w:t>
      </w:r>
    </w:p>
    <w:p w14:paraId="2FDE39D2" w14:textId="264EC38B" w:rsidR="00822CBA" w:rsidRPr="003C24F8" w:rsidRDefault="00F32B92" w:rsidP="00A147FC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3C24F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1034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3C24F8" w:rsidRDefault="00F32B92" w:rsidP="00A147FC">
      <w:pPr>
        <w:pStyle w:val="Odstavecseseznamem"/>
        <w:numPr>
          <w:ilvl w:val="1"/>
          <w:numId w:val="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3C24F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C24F8" w:rsidRDefault="00A9730D" w:rsidP="00A147FC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F79D9EC" w:rsidR="00A9730D" w:rsidRPr="003C24F8" w:rsidRDefault="00A9730D" w:rsidP="00A147FC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730AE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5BC81677" w14:textId="77777777" w:rsidR="00423046" w:rsidRPr="003C24F8" w:rsidRDefault="00A9730D" w:rsidP="00A147FC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</w:p>
    <w:p w14:paraId="3FDECDBE" w14:textId="4B8A47E3" w:rsidR="00423046" w:rsidRPr="003C24F8" w:rsidRDefault="00423046" w:rsidP="00A147FC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fotokopií potvrzení o absolvování kurzu bezpečné jízdy v rozsahu dle </w:t>
      </w:r>
      <w:r w:rsidR="00730AE5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5. 3 Pravidel, </w:t>
      </w:r>
    </w:p>
    <w:p w14:paraId="6187DA3F" w14:textId="77777777" w:rsidR="00423046" w:rsidRPr="003C24F8" w:rsidRDefault="00423046" w:rsidP="00A147FC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čestné prohlášení o získání řidičského oprávnění skupiny C člena JSDH na kterého byla čerpána dotace.</w:t>
      </w:r>
    </w:p>
    <w:p w14:paraId="54657267" w14:textId="25BCD7C0" w:rsidR="00A9730D" w:rsidRPr="003C24F8" w:rsidRDefault="00423046" w:rsidP="00423046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Body d) a e) budou vybrány podle účelu použití dotace</w:t>
      </w:r>
      <w:r w:rsidR="00B2411D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443EDF0" w:rsidR="00A9730D" w:rsidRPr="003C24F8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lhůtě pro předložení vyúčtování </w:t>
      </w:r>
      <w:r w:rsidR="00A9730D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předloží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</w:t>
      </w:r>
      <w:r w:rsidR="00A9730D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poskytovateli </w:t>
      </w:r>
      <w:r w:rsidR="00372BF4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také </w:t>
      </w:r>
      <w:r w:rsidR="00A9730D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závěrečnou zprávu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a to </w:t>
      </w:r>
      <w:r w:rsidR="00EF66A7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C1689F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dodáním</w:t>
      </w:r>
      <w:r w:rsidR="00EF66A7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datové schránky poskytovatele</w:t>
      </w:r>
      <w:r w:rsidR="00A9730D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726C632" w14:textId="31B6CF33" w:rsidR="00A9730D" w:rsidRPr="003C24F8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Závěrečná zpráva musí obsahovat</w:t>
      </w:r>
      <w:r w:rsidRPr="003C24F8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="00423046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</w:t>
      </w:r>
      <w:r w:rsidR="00423046" w:rsidRPr="003C24F8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V příloze závěrečné zprávy je příjemce povinen předložit poskytovateli</w:t>
      </w:r>
      <w:r w:rsidR="00423046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423046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fotodokumentaci propagace Olomouckého kraje při splnění podmínek v čl. II. odst. 10 této smlouvy </w:t>
      </w:r>
      <w:r w:rsidR="005600E5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min. </w:t>
      </w:r>
      <w:r w:rsidR="004F722B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jednu </w:t>
      </w:r>
      <w:r w:rsidR="005600E5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fotografi</w:t>
      </w:r>
      <w:r w:rsidR="004F722B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i</w:t>
      </w:r>
      <w:r w:rsidR="005600E5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423046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(</w:t>
      </w:r>
      <w:proofErr w:type="spellStart"/>
      <w:r w:rsidR="00423046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="00423046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příjemce s logem a informací, že poskytovatel příjemce finančně podpořil</w:t>
      </w:r>
      <w:r w:rsidR="000C3866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</w:p>
    <w:p w14:paraId="758E3118" w14:textId="560A175F" w:rsidR="00A9730D" w:rsidRPr="003C24F8" w:rsidRDefault="00E2179C" w:rsidP="00A147FC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 </w:t>
      </w:r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3C24F8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C24F8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3C24F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2A3CD851" w:rsidR="009A3DA5" w:rsidRPr="003C24F8" w:rsidRDefault="009A3DA5" w:rsidP="00A147F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3C24F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3C24F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3C24F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3C24F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3C24F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3C24F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3C24F8" w:rsidRDefault="009A3DA5" w:rsidP="00A147FC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C24F8" w:rsidRPr="003C24F8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C24F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3C24F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3C24F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C24F8" w:rsidRPr="003C24F8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C24F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C24F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4C47E347" w14:textId="77777777" w:rsidTr="00730AE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C24F8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C24F8" w:rsidRDefault="00E63B48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3C925904" w14:textId="77777777" w:rsidTr="00730AE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3C24F8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</w:t>
            </w:r>
            <w:r w:rsidR="00E20D91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3C24F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C24F8" w:rsidRPr="003C24F8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3C24F8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C24F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C24F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C24F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3C24F8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C24F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C24F8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C24F8" w:rsidRDefault="00E63B48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C24F8" w:rsidRDefault="00E63B48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C24F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9DA8778" w:rsidR="009A3DA5" w:rsidRPr="003C24F8" w:rsidRDefault="009A3DA5" w:rsidP="00A147F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</w:t>
      </w:r>
      <w:r w:rsidR="00730AE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část, vrátí příjemce dotaci nebo její část na účet poskytovatele </w:t>
      </w:r>
      <w:r w:rsidR="00730AE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23046" w:rsidRPr="003C24F8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3C24F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23046" w:rsidRPr="003C24F8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0C3866" w:rsidRPr="003C24F8">
        <w:rPr>
          <w:rFonts w:ascii="Arial" w:hAnsi="Arial" w:cs="Arial"/>
          <w:sz w:val="24"/>
          <w:szCs w:val="24"/>
        </w:rPr>
        <w:t>.</w:t>
      </w:r>
    </w:p>
    <w:p w14:paraId="7B0CEB9C" w14:textId="2AD9194D" w:rsidR="003E1239" w:rsidRPr="003C24F8" w:rsidRDefault="009A3DA5" w:rsidP="00A147FC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730AE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i jinými změnami, které mohou podstatně ovlivnit způsob jeho finančního hospodaření a náplň jeho aktivit ve vztahu k poskytnuté dotaci. </w:t>
      </w:r>
    </w:p>
    <w:p w14:paraId="4A6F2927" w14:textId="180C1755" w:rsidR="00423046" w:rsidRPr="003C24F8" w:rsidRDefault="00836AA2" w:rsidP="00A147FC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423046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od nabytí účinnosti smlouvy nejméně do 11. 12. 2023. Spolu s logem zde bude vždy uvedena informace, že poskytovatel akci finančně podpořil.</w:t>
      </w:r>
    </w:p>
    <w:p w14:paraId="3C925919" w14:textId="09A51938" w:rsidR="009A3DA5" w:rsidRPr="003C24F8" w:rsidRDefault="00423046" w:rsidP="000C3866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(jedna fotografie dokladující propagaci poskytovatele -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příjemce s logem Olomouckého kraje a informací, že poskytovatel příjemce finančně podpořil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) musí být poskytovateli příjemcem předložena společně se závěrečnou zprávou</w:t>
      </w:r>
      <w:r w:rsidR="003E1239"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0C3866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3C24F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65D3711" w:rsidR="009A3DA5" w:rsidRPr="003C24F8" w:rsidRDefault="009A3DA5" w:rsidP="00A147FC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C24F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3E1239" w:rsidRPr="003C24F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C24F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3C24F8" w:rsidRDefault="001D30FE" w:rsidP="00A147FC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3C24F8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 xml:space="preserve">nebo </w:t>
      </w:r>
      <w:r w:rsidR="009116F0" w:rsidRPr="003C24F8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 xml:space="preserve">čl. 1 </w:t>
      </w:r>
      <w:r w:rsidR="00C73D04" w:rsidRPr="003C24F8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 xml:space="preserve">odst. </w:t>
      </w:r>
      <w:r w:rsidR="009116F0" w:rsidRPr="003C24F8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>13 Zásad.</w:t>
      </w:r>
      <w:r w:rsidR="00C73D04" w:rsidRPr="003C24F8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 xml:space="preserve"> </w:t>
      </w:r>
      <w:r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(</w:t>
      </w:r>
      <w:r w:rsidR="00F165D4"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o</w:t>
      </w:r>
      <w:r w:rsidR="00C22174"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dkaz na odst. </w:t>
      </w:r>
      <w:r w:rsidR="00F165D4"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13</w:t>
      </w:r>
      <w:r w:rsidR="00C22174"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 se uvede v případě, že dotace bude poskytována v režimu de </w:t>
      </w:r>
      <w:proofErr w:type="spellStart"/>
      <w:r w:rsidR="00C22174"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="00C22174"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, tj. pokud v čl. III budou uvedeny odstavce 2-5</w:t>
      </w:r>
      <w:r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)</w:t>
      </w:r>
    </w:p>
    <w:p w14:paraId="5267D066" w14:textId="4F11E3D3" w:rsidR="001D30FE" w:rsidRPr="003C24F8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3C24F8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C24F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C24F8" w:rsidRDefault="009A3DA5" w:rsidP="00A147FC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C24F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3C24F8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lním registru podpor malého roz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sahu (de </w:t>
      </w:r>
      <w:proofErr w:type="spellStart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poskytovatelem poskytována v režimu de </w:t>
      </w:r>
      <w:proofErr w:type="spellStart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. V takovém případě se </w:t>
      </w:r>
      <w:r w:rsidR="00C62C1B"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ve smlouvě 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uvedou následující odst. 2-5:</w:t>
      </w:r>
    </w:p>
    <w:p w14:paraId="12DFBDFA" w14:textId="77777777" w:rsidR="00170EC7" w:rsidRPr="003C24F8" w:rsidRDefault="00170EC7" w:rsidP="00A147F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3C24F8" w:rsidRDefault="001C5430" w:rsidP="00A147F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C24F8" w:rsidRDefault="00170EC7" w:rsidP="00A147F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3C24F8" w:rsidRDefault="004F0D50" w:rsidP="00A147F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poskytnutou dle této smlouvy upravit v Centrálním registru podpor malého rozsahu.</w:t>
      </w:r>
    </w:p>
    <w:p w14:paraId="20A58AE8" w14:textId="37EB0570" w:rsidR="00E968C6" w:rsidRPr="003C24F8" w:rsidRDefault="00E968C6" w:rsidP="00A147FC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EEE8D09" w:rsidR="009A3DA5" w:rsidRPr="003C24F8" w:rsidRDefault="009A3DA5" w:rsidP="00A147FC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C24F8" w:rsidRDefault="009A3DA5" w:rsidP="00A147FC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C24F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C24F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C24F8" w:rsidRDefault="004C50AD" w:rsidP="00A147FC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C24F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3C24F8" w:rsidRDefault="009A3DA5" w:rsidP="00A147FC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4F0612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3C24F8" w:rsidRDefault="004436F0" w:rsidP="00A147FC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3C24F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3C24F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3C24F8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3C24F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3C24F8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3C24F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3C24F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3C24F8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3C24F8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9ABB604" w14:textId="6ABF3F8E" w:rsidR="005600E5" w:rsidRPr="003C24F8" w:rsidRDefault="009B0F59" w:rsidP="005600E5">
      <w:pPr>
        <w:jc w:val="right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C24F8">
        <w:rPr>
          <w:rFonts w:ascii="Arial" w:hAnsi="Arial" w:cs="Arial"/>
          <w:bCs/>
        </w:rPr>
        <w:br w:type="page"/>
      </w:r>
      <w:r w:rsidR="005600E5" w:rsidRPr="003C24F8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VZOR do výše 50 tis. Kč bez zveřejnění a se spoluúčastí</w:t>
      </w:r>
    </w:p>
    <w:p w14:paraId="4B72A6DF" w14:textId="00DD34B2" w:rsidR="005600E5" w:rsidRPr="003C24F8" w:rsidRDefault="005600E5" w:rsidP="005600E5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 dotace na akci</w:t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obci, městysi, městu </w:t>
      </w:r>
    </w:p>
    <w:p w14:paraId="087896C0" w14:textId="77777777" w:rsidR="005600E5" w:rsidRPr="003C24F8" w:rsidRDefault="005600E5" w:rsidP="005600E5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53C0025" w14:textId="77777777" w:rsidR="005600E5" w:rsidRPr="003C24F8" w:rsidRDefault="005600E5" w:rsidP="005600E5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C24F8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9DE4E5A" w14:textId="77777777" w:rsidR="005600E5" w:rsidRPr="003C24F8" w:rsidRDefault="005600E5" w:rsidP="005600E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070B467" w14:textId="77777777" w:rsidR="005600E5" w:rsidRPr="003C24F8" w:rsidRDefault="005600E5" w:rsidP="005600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1EC5A7DD" w14:textId="77777777" w:rsidR="005600E5" w:rsidRPr="003C24F8" w:rsidRDefault="005600E5" w:rsidP="005600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FC597F6" w14:textId="77777777" w:rsidR="005600E5" w:rsidRPr="003C24F8" w:rsidRDefault="005600E5" w:rsidP="005600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A638790" w14:textId="09ABD74A" w:rsidR="005600E5" w:rsidRPr="003C24F8" w:rsidRDefault="005600E5" w:rsidP="005600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701E6">
        <w:rPr>
          <w:rFonts w:ascii="Arial" w:eastAsia="Times New Roman" w:hAnsi="Arial" w:cs="Arial"/>
          <w:sz w:val="24"/>
          <w:szCs w:val="24"/>
          <w:lang w:eastAsia="cs-CZ"/>
        </w:rPr>
        <w:t xml:space="preserve">Ing. Josefem Suchánkem, </w:t>
      </w:r>
      <w:r w:rsidR="00E701E6" w:rsidRPr="000D5492">
        <w:rPr>
          <w:rFonts w:ascii="Arial" w:eastAsia="Times New Roman" w:hAnsi="Arial" w:cs="Arial"/>
          <w:sz w:val="24"/>
          <w:szCs w:val="24"/>
          <w:lang w:eastAsia="cs-CZ"/>
        </w:rPr>
        <w:t xml:space="preserve">hejtmanem </w:t>
      </w:r>
    </w:p>
    <w:p w14:paraId="57549F4A" w14:textId="77777777" w:rsidR="005600E5" w:rsidRPr="003C24F8" w:rsidRDefault="005600E5" w:rsidP="005600E5">
      <w:pPr>
        <w:spacing w:after="120"/>
        <w:rPr>
          <w:rFonts w:ascii="Arial" w:hAnsi="Arial" w:cs="Arial"/>
          <w:sz w:val="24"/>
          <w:szCs w:val="24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24F8">
        <w:rPr>
          <w:rFonts w:ascii="Arial" w:hAnsi="Arial" w:cs="Arial"/>
          <w:sz w:val="24"/>
          <w:szCs w:val="24"/>
        </w:rPr>
        <w:t>Komerční banka, a.s.</w:t>
      </w:r>
    </w:p>
    <w:p w14:paraId="646FBD03" w14:textId="77777777" w:rsidR="005600E5" w:rsidRPr="003C24F8" w:rsidRDefault="005600E5" w:rsidP="005600E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3C24F8">
        <w:rPr>
          <w:rFonts w:ascii="Arial" w:hAnsi="Arial" w:cs="Arial"/>
          <w:sz w:val="24"/>
          <w:szCs w:val="24"/>
        </w:rPr>
        <w:t>ú.</w:t>
      </w:r>
      <w:proofErr w:type="spellEnd"/>
      <w:r w:rsidRPr="003C24F8">
        <w:rPr>
          <w:rFonts w:ascii="Arial" w:hAnsi="Arial" w:cs="Arial"/>
          <w:sz w:val="24"/>
          <w:szCs w:val="24"/>
        </w:rPr>
        <w:t xml:space="preserve"> 27-4228120277/0100</w:t>
      </w:r>
    </w:p>
    <w:p w14:paraId="2DB301D8" w14:textId="77777777" w:rsidR="005600E5" w:rsidRPr="003C24F8" w:rsidRDefault="005600E5" w:rsidP="005600E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75A8892" w14:textId="77777777" w:rsidR="005600E5" w:rsidRPr="003C24F8" w:rsidRDefault="005600E5" w:rsidP="005600E5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7361F5A" w14:textId="77777777" w:rsidR="005600E5" w:rsidRPr="003C24F8" w:rsidRDefault="005600E5" w:rsidP="005600E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725DC97C" w14:textId="77777777" w:rsidR="005600E5" w:rsidRPr="003C24F8" w:rsidRDefault="005600E5" w:rsidP="005600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3079BC0" w14:textId="77777777" w:rsidR="005600E5" w:rsidRPr="003C24F8" w:rsidRDefault="005600E5" w:rsidP="005600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5EED86A" w14:textId="77777777" w:rsidR="005600E5" w:rsidRPr="003C24F8" w:rsidRDefault="005600E5" w:rsidP="005600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56F10ECF" w14:textId="77777777" w:rsidR="005600E5" w:rsidRPr="003C24F8" w:rsidRDefault="005600E5" w:rsidP="005600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78D1ECCB" w14:textId="77777777" w:rsidR="005600E5" w:rsidRPr="003C24F8" w:rsidRDefault="005600E5" w:rsidP="005600E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8762088" w14:textId="77777777" w:rsidR="005600E5" w:rsidRPr="003C24F8" w:rsidRDefault="005600E5" w:rsidP="005600E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6CAD3C0" w14:textId="77777777" w:rsidR="005600E5" w:rsidRPr="003C24F8" w:rsidRDefault="005600E5" w:rsidP="005600E5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E2A5E7E" w14:textId="77777777" w:rsidR="005600E5" w:rsidRPr="003C24F8" w:rsidRDefault="005600E5" w:rsidP="005600E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A77D745" w14:textId="77777777" w:rsidR="005600E5" w:rsidRPr="003C24F8" w:rsidRDefault="005600E5" w:rsidP="00A147FC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......... korun českých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„dotace“).</w:t>
      </w:r>
    </w:p>
    <w:p w14:paraId="628A678D" w14:textId="17BAD4A4" w:rsidR="005600E5" w:rsidRPr="003C24F8" w:rsidRDefault="005600E5" w:rsidP="00A147FC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pořízení, technické zhodnocení a opravu požární techniky a nákup věcného vybavení a zajištění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akceschopnosti jednotky sboru dobrovolných hasičů 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…název jednotky….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příjemcem (dále také „akce“).</w:t>
      </w:r>
    </w:p>
    <w:p w14:paraId="72B3853B" w14:textId="77777777" w:rsidR="005600E5" w:rsidRPr="003C24F8" w:rsidRDefault="005600E5" w:rsidP="00A147FC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Pro potřeby veřejné podpory – podpory malého rozsahu (podpory de </w:t>
      </w:r>
      <w:proofErr w:type="spellStart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 se za den poskytnutí dotace považuje den, kdy tato smlouva nabyde účinnosti.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(specifikuje se dle dotačního programu/titulu)</w:t>
      </w:r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.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použito pouze v případě poskytnutí veřejné podpory)</w:t>
      </w:r>
    </w:p>
    <w:p w14:paraId="6C0B0FAF" w14:textId="5BD2DA9B" w:rsidR="005600E5" w:rsidRPr="003C24F8" w:rsidRDefault="005600E5" w:rsidP="00A147FC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příjemce).</w:t>
      </w:r>
    </w:p>
    <w:p w14:paraId="7F659219" w14:textId="77777777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76A2CE14" w14:textId="77777777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EC8BEFD" w14:textId="77777777" w:rsidR="005600E5" w:rsidRPr="003C24F8" w:rsidRDefault="005600E5" w:rsidP="00A147FC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5653D523" w14:textId="77777777" w:rsidR="005600E5" w:rsidRPr="003C24F8" w:rsidRDefault="005600E5" w:rsidP="00A147FC">
      <w:pPr>
        <w:numPr>
          <w:ilvl w:val="0"/>
          <w:numId w:val="17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92488C3" w14:textId="77777777" w:rsidR="005600E5" w:rsidRPr="003C24F8" w:rsidRDefault="005600E5" w:rsidP="00A147FC">
      <w:pPr>
        <w:numPr>
          <w:ilvl w:val="0"/>
          <w:numId w:val="17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58682489" w14:textId="77777777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12FFD37A" w14:textId="77777777" w:rsidR="005600E5" w:rsidRPr="003C24F8" w:rsidRDefault="005600E5" w:rsidP="005600E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B60A677" w14:textId="77777777" w:rsidR="005600E5" w:rsidRPr="003C24F8" w:rsidRDefault="005600E5" w:rsidP="00A147FC">
      <w:pPr>
        <w:numPr>
          <w:ilvl w:val="0"/>
          <w:numId w:val="9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</w:t>
      </w:r>
      <w:proofErr w:type="spell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na podporu JSDH 2023 pro dotační titul </w:t>
      </w:r>
      <w:r w:rsidRPr="003C24F8">
        <w:rPr>
          <w:rFonts w:ascii="Arial" w:hAnsi="Arial" w:cs="Arial"/>
          <w:sz w:val="24"/>
          <w:szCs w:val="24"/>
        </w:rPr>
        <w:t>13_02_01_Dotace na pořízení, technické zhodnocení a opravu požární techniky, nákup věcného vybavení a zajištění akceschopnosti JSDH obcí Olomouckého kraje 2023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45DF1772" w14:textId="77777777" w:rsidR="005600E5" w:rsidRPr="003C24F8" w:rsidRDefault="005600E5" w:rsidP="005600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</w:p>
    <w:p w14:paraId="1A933FC4" w14:textId="77777777" w:rsidR="005600E5" w:rsidRPr="003C24F8" w:rsidRDefault="005600E5" w:rsidP="005600E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Zde musí být přesně vymezeny uznatelné výdaje, na jejichž úhradu lze dotaci pouze použít (viz odst. 5.4 písm. c) a odst. 10.5 Pravidel). </w:t>
      </w:r>
      <w:r w:rsidRPr="003C24F8">
        <w:rPr>
          <w:rFonts w:ascii="Arial" w:hAnsi="Arial" w:cs="Arial"/>
          <w:i/>
          <w:iCs/>
          <w:sz w:val="24"/>
          <w:szCs w:val="24"/>
          <w:highlight w:val="lightGray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1E020365" w14:textId="77777777" w:rsidR="005600E5" w:rsidRPr="003C24F8" w:rsidRDefault="005600E5" w:rsidP="005600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E48EE37" w14:textId="77777777" w:rsidR="005600E5" w:rsidRPr="003C24F8" w:rsidRDefault="005600E5" w:rsidP="005600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5EE79A7B" w14:textId="77777777" w:rsidR="005600E5" w:rsidRPr="003C24F8" w:rsidRDefault="005600E5" w:rsidP="005600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761E4D1A" w14:textId="77777777" w:rsidR="005600E5" w:rsidRPr="003C24F8" w:rsidRDefault="005600E5" w:rsidP="005600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380D848" w14:textId="77777777" w:rsidR="005600E5" w:rsidRPr="003C24F8" w:rsidRDefault="005600E5" w:rsidP="005600E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8E2823E" w14:textId="08CA714F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24AB7764" w14:textId="0E5F3A9D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C24F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C24F8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C24F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0C3866" w:rsidRPr="003C24F8"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611007E0" w14:textId="77777777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Dotaci nelze rovněž použít na úhradu ostatních daní.</w:t>
      </w:r>
    </w:p>
    <w:p w14:paraId="3F0B0054" w14:textId="77777777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2524E0C" w14:textId="0A82BBE9" w:rsidR="005600E5" w:rsidRPr="003C24F8" w:rsidRDefault="005600E5" w:rsidP="000C3866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30. 11. 2023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1. 1. 2023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45A1924B" w14:textId="07492679" w:rsidR="005600E5" w:rsidRPr="003C24F8" w:rsidRDefault="005600E5" w:rsidP="005600E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činí ….…… Kč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proofErr w:type="gramStart"/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…..…</w:t>
      </w:r>
      <w:proofErr w:type="gramEnd"/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… korun českých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nejméně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C24F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Pr="003C24F8">
        <w:rPr>
          <w:rFonts w:ascii="Arial" w:hAnsi="Arial" w:cs="Arial"/>
          <w:b/>
          <w:sz w:val="24"/>
          <w:szCs w:val="24"/>
        </w:rPr>
        <w:t>50</w:t>
      </w:r>
      <w:r w:rsidRPr="003C24F8">
        <w:rPr>
          <w:rFonts w:ascii="Arial" w:hAnsi="Arial" w:cs="Arial"/>
          <w:sz w:val="24"/>
          <w:szCs w:val="24"/>
        </w:rPr>
        <w:t xml:space="preserve"> %</w:t>
      </w:r>
      <w:r w:rsidR="000C3866" w:rsidRPr="003C24F8">
        <w:rPr>
          <w:rFonts w:ascii="Arial" w:hAnsi="Arial" w:cs="Arial"/>
          <w:strike/>
          <w:sz w:val="24"/>
          <w:szCs w:val="24"/>
        </w:rPr>
        <w:t xml:space="preserve"> </w:t>
      </w:r>
      <w:r w:rsidRPr="003C24F8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7958989" w14:textId="2BF72222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jaká je v tomto čl. II odst. 2 stanovena pro použití dotace.</w:t>
      </w:r>
    </w:p>
    <w:p w14:paraId="6ECA33B8" w14:textId="77777777" w:rsidR="005600E5" w:rsidRPr="003C24F8" w:rsidRDefault="005600E5" w:rsidP="00A147FC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2F09B6" w14:textId="77777777" w:rsidR="005600E5" w:rsidRPr="003C24F8" w:rsidRDefault="005600E5" w:rsidP="00A147FC">
      <w:pPr>
        <w:numPr>
          <w:ilvl w:val="0"/>
          <w:numId w:val="9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11. 12. 2023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„vyúčtování“), a to prostřednictvím systému RAP, v němž příjemce podal žádost o poskytnutí této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</w:p>
    <w:p w14:paraId="4D946C4C" w14:textId="77777777" w:rsidR="005600E5" w:rsidRPr="003C24F8" w:rsidRDefault="005600E5" w:rsidP="005600E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20B9000" w14:textId="77777777" w:rsidR="005600E5" w:rsidRPr="003C24F8" w:rsidRDefault="005600E5" w:rsidP="00A147FC">
      <w:pPr>
        <w:pStyle w:val="Odstavecseseznamem"/>
        <w:numPr>
          <w:ilvl w:val="1"/>
          <w:numId w:val="9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C24F8">
        <w:rPr>
          <w:rFonts w:ascii="Arial" w:hAnsi="Arial" w:cs="Arial"/>
          <w:sz w:val="24"/>
          <w:szCs w:val="24"/>
        </w:rPr>
        <w:t>příjmy uvedené v odst. 10.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3C24F8">
        <w:rPr>
          <w:rFonts w:ascii="Arial" w:hAnsi="Arial" w:cs="Arial"/>
          <w:sz w:val="24"/>
          <w:szCs w:val="24"/>
        </w:rPr>
        <w:t xml:space="preserve"> Pravidel.</w:t>
      </w:r>
    </w:p>
    <w:p w14:paraId="3E185042" w14:textId="3EC7F5E9" w:rsidR="005600E5" w:rsidRPr="003C24F8" w:rsidRDefault="005600E5" w:rsidP="00A147FC">
      <w:pPr>
        <w:pStyle w:val="Odstavecseseznamem"/>
        <w:numPr>
          <w:ilvl w:val="1"/>
          <w:numId w:val="9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ve vzoru vyúčtování dotace</w:t>
      </w:r>
      <w:r w:rsidR="002421E5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5CBBFE1" w14:textId="77777777" w:rsidR="005600E5" w:rsidRPr="003C24F8" w:rsidRDefault="005600E5" w:rsidP="00A147FC">
      <w:pPr>
        <w:pStyle w:val="Odstavecseseznamem"/>
        <w:numPr>
          <w:ilvl w:val="1"/>
          <w:numId w:val="9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dotace, doložený:</w:t>
      </w:r>
    </w:p>
    <w:p w14:paraId="348CF4A7" w14:textId="77777777" w:rsidR="005600E5" w:rsidRPr="003C24F8" w:rsidRDefault="005600E5" w:rsidP="00A147FC">
      <w:pPr>
        <w:numPr>
          <w:ilvl w:val="0"/>
          <w:numId w:val="10"/>
        </w:numPr>
        <w:tabs>
          <w:tab w:val="clear" w:pos="1647"/>
        </w:tabs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E92834F" w14:textId="3FDB84A1" w:rsidR="005600E5" w:rsidRPr="003C24F8" w:rsidRDefault="005600E5" w:rsidP="00A147FC">
      <w:pPr>
        <w:numPr>
          <w:ilvl w:val="0"/>
          <w:numId w:val="10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2404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 jednotlivých výdajů přesahujících částku 1000 Kč. U jednotlivých výdajů do výše 1000 Kč doloží příjemce pouze soupis těchto výdajů,</w:t>
      </w:r>
    </w:p>
    <w:p w14:paraId="75C442F7" w14:textId="77777777" w:rsidR="005600E5" w:rsidRPr="003C24F8" w:rsidRDefault="005600E5" w:rsidP="00A147FC">
      <w:pPr>
        <w:numPr>
          <w:ilvl w:val="0"/>
          <w:numId w:val="10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</w:p>
    <w:p w14:paraId="7555F22C" w14:textId="577329F2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Ve lhůtě pro předložení vyúčtování předloží příjemce poskytovateli také závěrečnou zprávu, a to elektronicky dodáním do datové schránky poskytovatele.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2A5C456" w14:textId="4D6DE4D0" w:rsidR="00884637" w:rsidRPr="003C24F8" w:rsidRDefault="005600E5" w:rsidP="002421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 musí obsahovat</w:t>
      </w:r>
      <w:r w:rsidRPr="003C24F8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</w:t>
      </w:r>
      <w:r w:rsidRPr="003C24F8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 příloze závěrečné zprávy je příjemce povinen předložit poskytovateli 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fotodokumentaci propagace Olomouckého kraje při splnění podmínek v čl. II. odst. 10 této smlouvy</w:t>
      </w:r>
      <w:r w:rsidR="00863E3C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min. dvě fotografie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(fotografie loga umístěného na pořízeném</w:t>
      </w:r>
      <w:r w:rsidR="00A8567D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/opraveném/zhodnoceném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vybavení nebo náhradní variantu – logo na požární zbrojnici a </w:t>
      </w:r>
      <w:proofErr w:type="spellStart"/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příjemce s</w:t>
      </w:r>
      <w:r w:rsidR="00A8567D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 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logem</w:t>
      </w:r>
      <w:r w:rsidR="00A8567D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 vždy s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informací, že poskytovatel příjemce finančně podpořil)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8FEBE9A" w14:textId="333F9AE4" w:rsidR="005600E5" w:rsidRPr="003C24F8" w:rsidRDefault="005600E5" w:rsidP="00884637">
      <w:pPr>
        <w:spacing w:after="120"/>
        <w:ind w:hanging="7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37738395" w14:textId="43C92698" w:rsidR="00884637" w:rsidRPr="003C24F8" w:rsidRDefault="00884637" w:rsidP="00A147FC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5FE312F4" w14:textId="41BAD468" w:rsidR="005600E5" w:rsidRPr="003C24F8" w:rsidRDefault="005600E5" w:rsidP="00A147FC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255B01F8" w14:textId="77777777" w:rsidR="005600E5" w:rsidRPr="003C24F8" w:rsidRDefault="005600E5" w:rsidP="00A147FC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C24F8" w:rsidRPr="003C24F8" w14:paraId="35EAD289" w14:textId="77777777" w:rsidTr="00AC2D3D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74D14" w14:textId="77777777" w:rsidR="005600E5" w:rsidRPr="003C24F8" w:rsidRDefault="005600E5" w:rsidP="00AC2D3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C4C5" w14:textId="77777777" w:rsidR="005600E5" w:rsidRPr="003C24F8" w:rsidRDefault="005600E5" w:rsidP="00AC2D3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6FD7E80" w14:textId="77777777" w:rsidR="005600E5" w:rsidRPr="003C24F8" w:rsidRDefault="005600E5" w:rsidP="00AC2D3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C24F8" w:rsidRPr="003C24F8" w14:paraId="335DC6A8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AA0A" w14:textId="77777777" w:rsidR="005600E5" w:rsidRPr="003C24F8" w:rsidRDefault="005600E5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F40F" w14:textId="77777777" w:rsidR="005600E5" w:rsidRPr="003C24F8" w:rsidRDefault="005600E5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2B24E765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E164" w14:textId="77777777" w:rsidR="005600E5" w:rsidRPr="003C24F8" w:rsidRDefault="005600E5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5824E" w14:textId="77777777" w:rsidR="005600E5" w:rsidRPr="003C24F8" w:rsidRDefault="005600E5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425A77C8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C73D" w14:textId="77777777" w:rsidR="005600E5" w:rsidRPr="003C24F8" w:rsidRDefault="005600E5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35D2" w14:textId="77777777" w:rsidR="005600E5" w:rsidRPr="003C24F8" w:rsidRDefault="005600E5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C24F8" w:rsidRPr="003C24F8" w14:paraId="0148893D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F9DE" w14:textId="77777777" w:rsidR="005600E5" w:rsidRPr="003C24F8" w:rsidRDefault="005600E5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74B0" w14:textId="77777777" w:rsidR="005600E5" w:rsidRPr="003C24F8" w:rsidRDefault="005600E5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6C0BB372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A208" w14:textId="77777777" w:rsidR="005600E5" w:rsidRPr="003C24F8" w:rsidRDefault="005600E5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E193" w14:textId="77777777" w:rsidR="005600E5" w:rsidRPr="003C24F8" w:rsidRDefault="005600E5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5D0E1FD8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FDC0" w14:textId="77777777" w:rsidR="005600E5" w:rsidRPr="003C24F8" w:rsidRDefault="005600E5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606D" w14:textId="77777777" w:rsidR="005600E5" w:rsidRPr="003C24F8" w:rsidRDefault="005600E5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600E5" w:rsidRPr="003C24F8" w14:paraId="4BA878FA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9131" w14:textId="77777777" w:rsidR="005600E5" w:rsidRPr="003C24F8" w:rsidRDefault="005600E5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B19B" w14:textId="77777777" w:rsidR="005600E5" w:rsidRPr="003C24F8" w:rsidRDefault="005600E5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935EE5B" w14:textId="77777777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505E33D" w14:textId="3FB513B6" w:rsidR="005600E5" w:rsidRPr="003C24F8" w:rsidRDefault="005600E5" w:rsidP="00A147FC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</w:t>
      </w:r>
      <w:r w:rsidR="002404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část, vrátí příjemce dotaci nebo její část na účet poskytovatele </w:t>
      </w:r>
      <w:r w:rsidR="002404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č. 27-4228120277/0100. </w:t>
      </w:r>
      <w:r w:rsidRPr="003C24F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2421E5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EB6E42" w14:textId="2DC48310" w:rsidR="005600E5" w:rsidRPr="003C24F8" w:rsidRDefault="005600E5" w:rsidP="00A147FC">
      <w:pPr>
        <w:numPr>
          <w:ilvl w:val="0"/>
          <w:numId w:val="9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2404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i jinými změnami, které mohou podstatně ovlivnit způsob jeho finančního hospodaření a náplň jeho aktivit ve vztahu k poskytnuté dotaci. </w:t>
      </w:r>
    </w:p>
    <w:p w14:paraId="1F532FB7" w14:textId="5733432A" w:rsidR="005600E5" w:rsidRPr="003C24F8" w:rsidRDefault="005600E5" w:rsidP="00A147FC">
      <w:pPr>
        <w:numPr>
          <w:ilvl w:val="0"/>
          <w:numId w:val="9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od nabytí účinnosti smlouvy nejméně do 11. 12. 2023. Spolu s logem zde bude vždy uvedena informace, že poskytovatel akci finančně podpořil.</w:t>
      </w:r>
    </w:p>
    <w:p w14:paraId="0D88D0A9" w14:textId="77777777" w:rsidR="00A8567D" w:rsidRPr="003C24F8" w:rsidRDefault="00A8567D" w:rsidP="00A8567D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54B997D8" w14:textId="77777777" w:rsidR="00A8567D" w:rsidRPr="003C24F8" w:rsidRDefault="00A8567D" w:rsidP="00A8567D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09DB80D3" w14:textId="77777777" w:rsidR="00A8567D" w:rsidRPr="003C24F8" w:rsidRDefault="00A8567D" w:rsidP="00A8567D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Nelze-li označit pořízené, technicky zhodnocené nebo opravené vybavení logem Olomouckého kraje, je příjemce povinen umístit logo Olomouckého kraje na požární zbrojnici, v níž je vybavení umístěno, včetně informace, že poskytovatel příjemce finančně podpořil a pořídit fotodokumentaci o propagaci poskytovatele.</w:t>
      </w:r>
    </w:p>
    <w:p w14:paraId="734892E3" w14:textId="7DD8606F" w:rsidR="005600E5" w:rsidRPr="003C24F8" w:rsidRDefault="00A8567D" w:rsidP="002421E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poskytovatele -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fotografie loga Olomouckého kraje umístěného na pořízeném nebo opraveném vybavení (nebo náhradní varianta na požární zbrojnici) a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příjemce s logem Olomouckého kraje a informací, že poskytovatel příjemce finančně podpořil a pořídit fotodokumentaci o propagaci poskytovatele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).</w:t>
      </w:r>
      <w:r w:rsidR="005600E5"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600E5" w:rsidRPr="003C24F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4237FD49" w14:textId="77777777" w:rsidR="005600E5" w:rsidRPr="003C24F8" w:rsidRDefault="005600E5" w:rsidP="00A147FC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br/>
        <w:t>o zadávání veřejných zakázek, je povinen při její realizaci postupovat dle tohoto zákona.</w:t>
      </w:r>
    </w:p>
    <w:p w14:paraId="78FCA5DE" w14:textId="77777777" w:rsidR="005600E5" w:rsidRPr="003C24F8" w:rsidRDefault="005600E5" w:rsidP="00A147FC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čl. 1 odst. 6 </w:t>
      </w:r>
      <w:r w:rsidRPr="003C24F8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 xml:space="preserve">nebo čl. 1 odst. 13 Zásad. </w:t>
      </w:r>
      <w:r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(odkaz na odst. 13 se uvede v případě, že dotace bude poskytována v režimu de </w:t>
      </w:r>
      <w:proofErr w:type="spellStart"/>
      <w:r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, tj. pokud v čl. III budou uvedeny odstavce 2-5)</w:t>
      </w:r>
    </w:p>
    <w:p w14:paraId="0F743960" w14:textId="77777777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 Zásad, kterou ve lhůtě stanovené Zásadami neoznámil poskytovateli.</w:t>
      </w:r>
    </w:p>
    <w:p w14:paraId="78C9D7F0" w14:textId="77777777" w:rsidR="005600E5" w:rsidRPr="003C24F8" w:rsidRDefault="005600E5" w:rsidP="005600E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26DF7A3" w14:textId="77777777" w:rsidR="005600E5" w:rsidRPr="003C24F8" w:rsidRDefault="005600E5" w:rsidP="005600E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7FC22651" w14:textId="77777777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644E63D" w14:textId="77777777" w:rsidR="005600E5" w:rsidRPr="003C24F8" w:rsidRDefault="005600E5" w:rsidP="005600E5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poskytovatelem poskytována v režimu de </w:t>
      </w:r>
      <w:proofErr w:type="spellStart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 V takovém případě se ve smlouvě uvedou následující odst. 2-5:</w:t>
      </w:r>
    </w:p>
    <w:p w14:paraId="2C4192E5" w14:textId="77777777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6AAD21C6" w14:textId="77777777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</w:t>
      </w: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0EF586D1" w14:textId="77777777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C41CA40" w14:textId="77777777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poskytnutou dle této smlouvy upravit v Centrálním registru podpor malého rozsahu.</w:t>
      </w:r>
    </w:p>
    <w:p w14:paraId="45DDF111" w14:textId="382F7419" w:rsidR="00E968C6" w:rsidRPr="003C24F8" w:rsidRDefault="00E968C6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5852E54" w14:textId="3704953C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14F0037" w14:textId="77777777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2EC8248F" w14:textId="77777777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Pr="003C24F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2F4EFA" w14:textId="77777777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č. ......... ze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64F59C2B" w14:textId="77777777" w:rsidR="005600E5" w:rsidRPr="003C24F8" w:rsidRDefault="005600E5" w:rsidP="00A147F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3D75052C" w14:textId="77777777" w:rsidR="005600E5" w:rsidRPr="003C24F8" w:rsidRDefault="005600E5" w:rsidP="005600E5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265F7223" w14:textId="295DEF78" w:rsidR="008529FB" w:rsidRPr="003C24F8" w:rsidRDefault="008529FB">
      <w:pPr>
        <w:rPr>
          <w:rFonts w:ascii="Arial" w:hAnsi="Arial" w:cs="Arial"/>
          <w:bCs/>
        </w:rPr>
      </w:pPr>
      <w:r w:rsidRPr="003C24F8">
        <w:rPr>
          <w:rFonts w:ascii="Arial" w:hAnsi="Arial" w:cs="Arial"/>
          <w:bCs/>
        </w:rPr>
        <w:br w:type="page"/>
      </w:r>
    </w:p>
    <w:p w14:paraId="20650608" w14:textId="047D2481" w:rsidR="008529FB" w:rsidRPr="003C24F8" w:rsidRDefault="008529FB" w:rsidP="008529FB">
      <w:pPr>
        <w:jc w:val="right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VZOR nad 50 tis. Kč se zveřejněním a se spoluúčastí</w:t>
      </w:r>
    </w:p>
    <w:p w14:paraId="5EA51A13" w14:textId="556859EA" w:rsidR="008529FB" w:rsidRPr="003C24F8" w:rsidRDefault="008529FB" w:rsidP="008529FB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 dotace na akci</w:t>
      </w:r>
      <w:r w:rsidRPr="003C24F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obci, městysi, městu</w:t>
      </w:r>
    </w:p>
    <w:p w14:paraId="7EE63B71" w14:textId="77777777" w:rsidR="008529FB" w:rsidRPr="003C24F8" w:rsidRDefault="008529FB" w:rsidP="008529F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1835782" w14:textId="77777777" w:rsidR="008529FB" w:rsidRPr="003C24F8" w:rsidRDefault="008529FB" w:rsidP="008529FB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C24F8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06C10101" w14:textId="77777777" w:rsidR="008529FB" w:rsidRPr="003C24F8" w:rsidRDefault="008529FB" w:rsidP="008529F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550309F" w14:textId="77777777" w:rsidR="008529FB" w:rsidRPr="003C24F8" w:rsidRDefault="008529FB" w:rsidP="008529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60661282" w14:textId="77777777" w:rsidR="008529FB" w:rsidRPr="003C24F8" w:rsidRDefault="008529FB" w:rsidP="008529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6E101C2" w14:textId="77777777" w:rsidR="008529FB" w:rsidRPr="003C24F8" w:rsidRDefault="008529FB" w:rsidP="008529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10D44F8" w14:textId="7AF2EE36" w:rsidR="008529FB" w:rsidRPr="003C24F8" w:rsidRDefault="008529FB" w:rsidP="008529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701E6">
        <w:rPr>
          <w:rFonts w:ascii="Arial" w:eastAsia="Times New Roman" w:hAnsi="Arial" w:cs="Arial"/>
          <w:sz w:val="24"/>
          <w:szCs w:val="24"/>
          <w:lang w:eastAsia="cs-CZ"/>
        </w:rPr>
        <w:t xml:space="preserve">Ing. Josefem Suchánkem, </w:t>
      </w:r>
      <w:r w:rsidR="00E701E6" w:rsidRPr="000D5492">
        <w:rPr>
          <w:rFonts w:ascii="Arial" w:eastAsia="Times New Roman" w:hAnsi="Arial" w:cs="Arial"/>
          <w:sz w:val="24"/>
          <w:szCs w:val="24"/>
          <w:lang w:eastAsia="cs-CZ"/>
        </w:rPr>
        <w:t xml:space="preserve">hejtmanem </w:t>
      </w:r>
    </w:p>
    <w:p w14:paraId="351BC199" w14:textId="77777777" w:rsidR="008529FB" w:rsidRPr="003C24F8" w:rsidRDefault="008529FB" w:rsidP="008529FB">
      <w:pPr>
        <w:spacing w:after="120"/>
        <w:rPr>
          <w:rFonts w:ascii="Arial" w:hAnsi="Arial" w:cs="Arial"/>
          <w:sz w:val="24"/>
          <w:szCs w:val="24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24F8">
        <w:rPr>
          <w:rFonts w:ascii="Arial" w:hAnsi="Arial" w:cs="Arial"/>
          <w:sz w:val="24"/>
          <w:szCs w:val="24"/>
        </w:rPr>
        <w:t>Komerční banka, a.s.</w:t>
      </w:r>
    </w:p>
    <w:p w14:paraId="04DEECD1" w14:textId="77777777" w:rsidR="008529FB" w:rsidRPr="003C24F8" w:rsidRDefault="008529FB" w:rsidP="008529F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3C24F8">
        <w:rPr>
          <w:rFonts w:ascii="Arial" w:hAnsi="Arial" w:cs="Arial"/>
          <w:sz w:val="24"/>
          <w:szCs w:val="24"/>
        </w:rPr>
        <w:t>ú.</w:t>
      </w:r>
      <w:proofErr w:type="spellEnd"/>
      <w:r w:rsidRPr="003C24F8">
        <w:rPr>
          <w:rFonts w:ascii="Arial" w:hAnsi="Arial" w:cs="Arial"/>
          <w:sz w:val="24"/>
          <w:szCs w:val="24"/>
        </w:rPr>
        <w:t xml:space="preserve"> 27-4228120277/0100</w:t>
      </w:r>
    </w:p>
    <w:p w14:paraId="772FC66B" w14:textId="77777777" w:rsidR="008529FB" w:rsidRPr="003C24F8" w:rsidRDefault="008529FB" w:rsidP="008529F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EDBF56C" w14:textId="77777777" w:rsidR="008529FB" w:rsidRPr="003C24F8" w:rsidRDefault="008529FB" w:rsidP="008529FB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763287E" w14:textId="77777777" w:rsidR="008529FB" w:rsidRPr="003C24F8" w:rsidRDefault="008529FB" w:rsidP="008529F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12155825" w14:textId="77777777" w:rsidR="008529FB" w:rsidRPr="003C24F8" w:rsidRDefault="008529FB" w:rsidP="008529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E34C45" w14:textId="77777777" w:rsidR="008529FB" w:rsidRPr="003C24F8" w:rsidRDefault="008529FB" w:rsidP="008529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5F1E22F" w14:textId="77777777" w:rsidR="008529FB" w:rsidRPr="003C24F8" w:rsidRDefault="008529FB" w:rsidP="008529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7F0D39" w14:textId="77777777" w:rsidR="008529FB" w:rsidRPr="003C24F8" w:rsidRDefault="008529FB" w:rsidP="008529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042B2FFB" w14:textId="77777777" w:rsidR="008529FB" w:rsidRPr="003C24F8" w:rsidRDefault="008529FB" w:rsidP="008529F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07DC75CC" w14:textId="77777777" w:rsidR="008529FB" w:rsidRPr="003C24F8" w:rsidRDefault="008529FB" w:rsidP="008529F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F9FBCC5" w14:textId="77777777" w:rsidR="008529FB" w:rsidRPr="003C24F8" w:rsidRDefault="008529FB" w:rsidP="008529FB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E19AB1C" w14:textId="77777777" w:rsidR="008529FB" w:rsidRPr="003C24F8" w:rsidRDefault="008529FB" w:rsidP="008529F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9C606F8" w14:textId="77777777" w:rsidR="008529FB" w:rsidRPr="003C24F8" w:rsidRDefault="008529FB" w:rsidP="00A147FC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......... Kč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......... korun českých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„dotace“).</w:t>
      </w:r>
    </w:p>
    <w:p w14:paraId="1D0641F8" w14:textId="63A95B8A" w:rsidR="008529FB" w:rsidRPr="003C24F8" w:rsidRDefault="008529FB" w:rsidP="00A147FC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C24F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pořízení, technické zhodnocení a opravu požární techniky a nákup věcného vybavení a zajištění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akceschopnosti jednotky sboru dobrovolných hasičů 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…název jednotky….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příjemcem (dále také „akce“).</w:t>
      </w:r>
    </w:p>
    <w:p w14:paraId="141D93D3" w14:textId="77777777" w:rsidR="008529FB" w:rsidRPr="003C24F8" w:rsidRDefault="008529FB" w:rsidP="00A147FC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Pro potřeby veřejné podpory – podpory malého rozsahu (podpory de </w:t>
      </w:r>
      <w:proofErr w:type="spellStart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) se za den poskytnutí dotace považuje den, kdy tato smlouva nabyde účinnosti.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(specifikuje se dle dotačního programu/titulu)</w:t>
      </w:r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.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použito pouze v případě poskytnutí veřejné podpory)</w:t>
      </w:r>
    </w:p>
    <w:p w14:paraId="4DBCB921" w14:textId="5BA987E9" w:rsidR="008529FB" w:rsidRPr="003C24F8" w:rsidRDefault="008529FB" w:rsidP="00A147FC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3C24F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příjemce).</w:t>
      </w:r>
    </w:p>
    <w:p w14:paraId="5C16F8A9" w14:textId="7777777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investiční dotací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784E44C8" w14:textId="7777777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neinvestiční dotací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jiných výdajů než:</w:t>
      </w:r>
    </w:p>
    <w:p w14:paraId="6DB1A13E" w14:textId="77777777" w:rsidR="008529FB" w:rsidRPr="003C24F8" w:rsidRDefault="008529FB" w:rsidP="00A147FC">
      <w:pPr>
        <w:numPr>
          <w:ilvl w:val="0"/>
          <w:numId w:val="14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5283B9A3" w14:textId="77777777" w:rsidR="008529FB" w:rsidRPr="003C24F8" w:rsidRDefault="008529FB" w:rsidP="00A147FC">
      <w:pPr>
        <w:numPr>
          <w:ilvl w:val="0"/>
          <w:numId w:val="1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27594A2" w14:textId="77777777" w:rsidR="008529FB" w:rsidRPr="003C24F8" w:rsidRDefault="008529FB" w:rsidP="00A147FC">
      <w:pPr>
        <w:numPr>
          <w:ilvl w:val="0"/>
          <w:numId w:val="1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6CB45A61" w14:textId="7777777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DC3CF5B" w14:textId="77777777" w:rsidR="008529FB" w:rsidRPr="003C24F8" w:rsidRDefault="008529FB" w:rsidP="008529F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BF69825" w14:textId="77777777" w:rsidR="008529FB" w:rsidRPr="003C24F8" w:rsidRDefault="008529FB" w:rsidP="00A147FC">
      <w:pPr>
        <w:numPr>
          <w:ilvl w:val="0"/>
          <w:numId w:val="1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</w:t>
      </w:r>
      <w:proofErr w:type="spell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na podporu JSDH 2023 pro dotační titul </w:t>
      </w:r>
      <w:r w:rsidRPr="003C24F8">
        <w:rPr>
          <w:rFonts w:ascii="Arial" w:hAnsi="Arial" w:cs="Arial"/>
          <w:sz w:val="24"/>
          <w:szCs w:val="24"/>
        </w:rPr>
        <w:t>13_02_01_Dotace na pořízení, technické zhodnocení a opravu požární techniky, nákup věcného vybavení a zajištění akceschopnosti JSDH obcí Olomouckého kraje 2023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4E37A539" w14:textId="77777777" w:rsidR="008529FB" w:rsidRPr="003C24F8" w:rsidRDefault="008529FB" w:rsidP="008529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</w:p>
    <w:p w14:paraId="47CA571F" w14:textId="77777777" w:rsidR="008529FB" w:rsidRPr="003C24F8" w:rsidRDefault="008529FB" w:rsidP="008529FB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Zde musí být přesně vymezeny uznatelné výdaje, na jejichž úhradu lze dotaci pouze použít (viz odst. 5.4 písm. c) a odst. 10.5 Pravidel). </w:t>
      </w:r>
      <w:r w:rsidRPr="003C24F8">
        <w:rPr>
          <w:rFonts w:ascii="Arial" w:hAnsi="Arial" w:cs="Arial"/>
          <w:i/>
          <w:iCs/>
          <w:sz w:val="24"/>
          <w:szCs w:val="24"/>
          <w:highlight w:val="lightGray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87D0AD1" w14:textId="77777777" w:rsidR="008529FB" w:rsidRPr="003C24F8" w:rsidRDefault="008529FB" w:rsidP="008529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014C380" w14:textId="77777777" w:rsidR="008529FB" w:rsidRPr="003C24F8" w:rsidRDefault="008529FB" w:rsidP="008529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279CDB98" w14:textId="77777777" w:rsidR="008529FB" w:rsidRPr="003C24F8" w:rsidRDefault="008529FB" w:rsidP="008529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47A124BE" w14:textId="77777777" w:rsidR="008529FB" w:rsidRPr="003C24F8" w:rsidRDefault="008529FB" w:rsidP="008529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C0B74A7" w14:textId="77777777" w:rsidR="008529FB" w:rsidRPr="003C24F8" w:rsidRDefault="008529FB" w:rsidP="008529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8389547" w14:textId="4B796FA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7DC38B39" w14:textId="1994893C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C24F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C24F8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C24F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C24F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51C10005" w14:textId="7777777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Dotaci nelze rovněž použít na úhradu ostatních daní.</w:t>
      </w:r>
    </w:p>
    <w:p w14:paraId="742A9276" w14:textId="7777777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BED2829" w14:textId="71BFE493" w:rsidR="008529FB" w:rsidRPr="003C24F8" w:rsidRDefault="008529FB" w:rsidP="002421E5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30. 11. 2023</w:t>
      </w:r>
      <w:r w:rsidR="002421E5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1. 1. 2023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2A131EED" w14:textId="575E2105" w:rsidR="008529FB" w:rsidRPr="003C24F8" w:rsidRDefault="008529FB" w:rsidP="008529FB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činí ….…… Kč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proofErr w:type="gramStart"/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…..…</w:t>
      </w:r>
      <w:proofErr w:type="gramEnd"/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… korun českých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nejméně </w:t>
      </w:r>
      <w:r w:rsidRPr="00637DDC">
        <w:rPr>
          <w:rFonts w:ascii="Arial" w:eastAsia="Times New Roman" w:hAnsi="Arial" w:cs="Arial"/>
          <w:b/>
          <w:sz w:val="24"/>
          <w:szCs w:val="24"/>
          <w:lang w:eastAsia="cs-CZ"/>
        </w:rPr>
        <w:t>50 %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3C24F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Pr="003C24F8">
        <w:rPr>
          <w:rFonts w:ascii="Arial" w:hAnsi="Arial" w:cs="Arial"/>
          <w:b/>
          <w:sz w:val="24"/>
          <w:szCs w:val="24"/>
        </w:rPr>
        <w:t>50</w:t>
      </w:r>
      <w:r w:rsidR="00637DDC">
        <w:rPr>
          <w:rFonts w:ascii="Arial" w:hAnsi="Arial" w:cs="Arial"/>
          <w:b/>
          <w:sz w:val="24"/>
          <w:szCs w:val="24"/>
        </w:rPr>
        <w:t> </w:t>
      </w:r>
      <w:r w:rsidRPr="00637DDC">
        <w:rPr>
          <w:rFonts w:ascii="Arial" w:hAnsi="Arial" w:cs="Arial"/>
          <w:b/>
          <w:sz w:val="24"/>
          <w:szCs w:val="24"/>
        </w:rPr>
        <w:t>%</w:t>
      </w:r>
      <w:r w:rsidRPr="003C24F8">
        <w:rPr>
          <w:rFonts w:ascii="Arial" w:hAnsi="Arial" w:cs="Arial"/>
          <w:strike/>
          <w:sz w:val="24"/>
          <w:szCs w:val="24"/>
        </w:rPr>
        <w:t xml:space="preserve"> </w:t>
      </w:r>
      <w:r w:rsidRPr="003C24F8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DC54D62" w14:textId="3670D27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jaká je v tomto čl. II odst. 2 stanovena pro použití dotace.</w:t>
      </w:r>
    </w:p>
    <w:p w14:paraId="05367ACD" w14:textId="5C1FD863" w:rsidR="008529FB" w:rsidRPr="003C24F8" w:rsidRDefault="008529FB" w:rsidP="00A147FC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637DD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1611C7EB" w14:textId="4288E9B5" w:rsidR="008529FB" w:rsidRPr="003C24F8" w:rsidRDefault="008529FB" w:rsidP="00A147FC">
      <w:pPr>
        <w:numPr>
          <w:ilvl w:val="0"/>
          <w:numId w:val="1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11. 12. 2023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„vyúčtování“), a to prostřednictvím systému RAP, </w:t>
      </w:r>
      <w:r w:rsidR="00637DD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v němž příjemce podal žádost o poskytnutí této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</w:p>
    <w:p w14:paraId="432F33C0" w14:textId="77777777" w:rsidR="008529FB" w:rsidRPr="003C24F8" w:rsidRDefault="008529FB" w:rsidP="008529F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4E11B21" w14:textId="77777777" w:rsidR="008529FB" w:rsidRPr="003C24F8" w:rsidRDefault="008529FB" w:rsidP="00A147FC">
      <w:pPr>
        <w:pStyle w:val="Odstavecseseznamem"/>
        <w:numPr>
          <w:ilvl w:val="1"/>
          <w:numId w:val="13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C24F8">
        <w:rPr>
          <w:rFonts w:ascii="Arial" w:hAnsi="Arial" w:cs="Arial"/>
          <w:sz w:val="24"/>
          <w:szCs w:val="24"/>
        </w:rPr>
        <w:t>příjmy uvedené v odst. 10.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3C24F8">
        <w:rPr>
          <w:rFonts w:ascii="Arial" w:hAnsi="Arial" w:cs="Arial"/>
          <w:sz w:val="24"/>
          <w:szCs w:val="24"/>
        </w:rPr>
        <w:t xml:space="preserve"> Pravidel.</w:t>
      </w:r>
    </w:p>
    <w:p w14:paraId="39AD0B29" w14:textId="51E43845" w:rsidR="008529FB" w:rsidRPr="003C24F8" w:rsidRDefault="008529FB" w:rsidP="00A147FC">
      <w:pPr>
        <w:pStyle w:val="Odstavecseseznamem"/>
        <w:numPr>
          <w:ilvl w:val="1"/>
          <w:numId w:val="13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ve vzoru vyúčtování dotace</w:t>
      </w:r>
      <w:r w:rsidR="002421E5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E920587" w14:textId="77777777" w:rsidR="008529FB" w:rsidRPr="003C24F8" w:rsidRDefault="008529FB" w:rsidP="00A147FC">
      <w:pPr>
        <w:pStyle w:val="Odstavecseseznamem"/>
        <w:numPr>
          <w:ilvl w:val="1"/>
          <w:numId w:val="13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dotace, doložený:</w:t>
      </w:r>
    </w:p>
    <w:p w14:paraId="02EAD986" w14:textId="77777777" w:rsidR="008529FB" w:rsidRPr="003C24F8" w:rsidRDefault="008529FB" w:rsidP="00A147FC">
      <w:pPr>
        <w:numPr>
          <w:ilvl w:val="0"/>
          <w:numId w:val="12"/>
        </w:numPr>
        <w:tabs>
          <w:tab w:val="clear" w:pos="1647"/>
        </w:tabs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6A7961E" w14:textId="115EC341" w:rsidR="008529FB" w:rsidRPr="003C24F8" w:rsidRDefault="008529FB" w:rsidP="00A147FC">
      <w:pPr>
        <w:numPr>
          <w:ilvl w:val="0"/>
          <w:numId w:val="12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9660B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 jednotlivých výdajů přesahujících částku 1000 Kč. U jednotlivých výdajů do výše 1000 Kč doloží příjemce pouze soupis těchto výdajů,</w:t>
      </w:r>
    </w:p>
    <w:p w14:paraId="6636A55C" w14:textId="77777777" w:rsidR="008529FB" w:rsidRPr="003C24F8" w:rsidRDefault="008529FB" w:rsidP="00A147FC">
      <w:pPr>
        <w:numPr>
          <w:ilvl w:val="0"/>
          <w:numId w:val="12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</w:p>
    <w:p w14:paraId="1F9F369C" w14:textId="18A2CA0D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Ve lhůtě pro předložení vyúčtování předloží příjemce poskytovateli také závěrečnou zprávu, a to elektronicky dodáním do datové schránky poskytovatele.</w:t>
      </w:r>
    </w:p>
    <w:p w14:paraId="39FEBAEA" w14:textId="7A3F5215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 musí obsahovat</w:t>
      </w:r>
      <w:r w:rsidRPr="003C24F8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</w:t>
      </w:r>
      <w:r w:rsidRPr="003C24F8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3C24F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 příloze závěrečné zprávy je příjemce povinen předložit poskytovateli 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fotodokumentaci propagace Olomouckého kraje při splnění podmínek v čl. II. odst. 10 této smlouvy</w:t>
      </w:r>
      <w:r w:rsidR="00863E3C"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dvě fotografie</w:t>
      </w:r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(fotografie loga umístěného na pořízeném/opraveném/zhodnoceném vybavení nebo náhradní variantu – logo na požární zbrojnici a </w:t>
      </w:r>
      <w:proofErr w:type="spellStart"/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</w:t>
      </w:r>
      <w:proofErr w:type="spellEnd"/>
      <w:r w:rsidRPr="003C24F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příjemce s logem, vždy s informací, že poskytovatel příjemce finančně podpořil)</w:t>
      </w:r>
      <w:r w:rsidR="002421E5"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C557E58" w14:textId="0454BFFD" w:rsidR="008529FB" w:rsidRPr="003C24F8" w:rsidRDefault="008529FB" w:rsidP="00A147FC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3C24F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2421E5" w:rsidRPr="003C24F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9660B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14:paraId="76DCDFEA" w14:textId="77777777" w:rsidR="008529FB" w:rsidRPr="003C24F8" w:rsidRDefault="008529FB" w:rsidP="00A147FC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12870E38" w14:textId="77777777" w:rsidR="008529FB" w:rsidRPr="003C24F8" w:rsidRDefault="008529FB" w:rsidP="00A147FC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C24F8" w:rsidRPr="003C24F8" w14:paraId="3C868B78" w14:textId="77777777" w:rsidTr="00AC2D3D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37B5" w14:textId="77777777" w:rsidR="008529FB" w:rsidRPr="003C24F8" w:rsidRDefault="008529FB" w:rsidP="00AC2D3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11E4" w14:textId="77777777" w:rsidR="008529FB" w:rsidRPr="003C24F8" w:rsidRDefault="008529FB" w:rsidP="00AC2D3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518A2A53" w14:textId="77777777" w:rsidR="008529FB" w:rsidRPr="003C24F8" w:rsidRDefault="008529FB" w:rsidP="00AC2D3D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C24F8" w:rsidRPr="003C24F8" w14:paraId="55703624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41DB" w14:textId="77777777" w:rsidR="008529FB" w:rsidRPr="003C24F8" w:rsidRDefault="008529FB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1812" w14:textId="77777777" w:rsidR="008529FB" w:rsidRPr="003C24F8" w:rsidRDefault="008529FB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2C19D2F8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E77B" w14:textId="77777777" w:rsidR="008529FB" w:rsidRPr="003C24F8" w:rsidRDefault="008529FB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42CE" w14:textId="77777777" w:rsidR="008529FB" w:rsidRPr="003C24F8" w:rsidRDefault="008529FB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3456E85F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50C7" w14:textId="77777777" w:rsidR="008529FB" w:rsidRPr="003C24F8" w:rsidRDefault="008529FB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D695" w14:textId="77777777" w:rsidR="008529FB" w:rsidRPr="003C24F8" w:rsidRDefault="008529FB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C24F8" w:rsidRPr="003C24F8" w14:paraId="43528DB6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60FA" w14:textId="77777777" w:rsidR="008529FB" w:rsidRPr="003C24F8" w:rsidRDefault="008529FB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0FD7" w14:textId="77777777" w:rsidR="008529FB" w:rsidRPr="003C24F8" w:rsidRDefault="008529FB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0BFD8C0E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5A74" w14:textId="77777777" w:rsidR="008529FB" w:rsidRPr="003C24F8" w:rsidRDefault="008529FB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FE16" w14:textId="77777777" w:rsidR="008529FB" w:rsidRPr="003C24F8" w:rsidRDefault="008529FB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C24F8" w:rsidRPr="003C24F8" w14:paraId="6362DFD7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2A485" w14:textId="77777777" w:rsidR="008529FB" w:rsidRPr="003C24F8" w:rsidRDefault="008529FB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34F8" w14:textId="77777777" w:rsidR="008529FB" w:rsidRPr="003C24F8" w:rsidRDefault="008529FB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29FB" w:rsidRPr="003C24F8" w14:paraId="0619A560" w14:textId="77777777" w:rsidTr="00AC2D3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1B76" w14:textId="77777777" w:rsidR="008529FB" w:rsidRPr="003C24F8" w:rsidRDefault="008529FB" w:rsidP="00AC2D3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6E56" w14:textId="77777777" w:rsidR="008529FB" w:rsidRPr="003C24F8" w:rsidRDefault="008529FB" w:rsidP="00AC2D3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C24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0E9F5F8" w14:textId="7777777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8DF75F" w14:textId="233145D8" w:rsidR="008529FB" w:rsidRPr="003C24F8" w:rsidRDefault="008529FB" w:rsidP="00A147FC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</w:t>
      </w:r>
      <w:r w:rsidR="009660B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část, vrátí příjemce dotaci nebo její část na účet poskytovatele </w:t>
      </w:r>
      <w:r w:rsidR="009660B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č. 27-4228120277/0100. </w:t>
      </w:r>
      <w:r w:rsidRPr="003C24F8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2421E5"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57CDE7" w14:textId="77777777" w:rsidR="008529FB" w:rsidRPr="003C24F8" w:rsidRDefault="008529FB" w:rsidP="00A147FC">
      <w:pPr>
        <w:numPr>
          <w:ilvl w:val="0"/>
          <w:numId w:val="1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2ED65792" w14:textId="70AAD400" w:rsidR="008529FB" w:rsidRPr="003C24F8" w:rsidRDefault="008529FB" w:rsidP="00A147FC">
      <w:pPr>
        <w:numPr>
          <w:ilvl w:val="0"/>
          <w:numId w:val="1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Pr="003C24F8">
        <w:rPr>
          <w:rFonts w:ascii="Arial" w:eastAsia="Times New Roman" w:hAnsi="Arial" w:cs="Arial"/>
          <w:b/>
          <w:sz w:val="24"/>
          <w:szCs w:val="24"/>
          <w:lang w:eastAsia="cs-CZ"/>
        </w:rPr>
        <w:t>od nabytí účinnosti smlouvy nejméně do 11. 12. 2023. Spolu s logem zde bude vždy uvedena informace, že poskytovatel akci finančně podpořil.</w:t>
      </w:r>
    </w:p>
    <w:p w14:paraId="6FEA3907" w14:textId="77777777" w:rsidR="008529FB" w:rsidRPr="003C24F8" w:rsidRDefault="008529FB" w:rsidP="008529FB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079ABC34" w14:textId="77777777" w:rsidR="008529FB" w:rsidRPr="003C24F8" w:rsidRDefault="008529FB" w:rsidP="008529FB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5632D7B4" w14:textId="77777777" w:rsidR="008529FB" w:rsidRPr="003C24F8" w:rsidRDefault="008529FB" w:rsidP="008529FB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Nelze-li označit pořízené, technicky zhodnocené nebo opravené vybavení logem Olomouckého kraje, je příjemce povinen umístit logo Olomouckého kraje na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požární zbrojnici, v níž je vybavení umístěno, včetně informace, že poskytovatel příjemce finančně podpořil a pořídit fotodokumentaci o propagaci poskytovatele.</w:t>
      </w:r>
    </w:p>
    <w:p w14:paraId="4B85D93B" w14:textId="61661B6E" w:rsidR="008529FB" w:rsidRPr="003C24F8" w:rsidRDefault="008529FB" w:rsidP="00777A3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poskytovatele - </w:t>
      </w:r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fotografie loga Olomouckého kraje umístěného na pořízeném nebo opraveném vybavení (nebo náhradní varianta na požární zbrojnici) a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příjemce s logem Olomouckého kraje a informací, že poskytovatel příjemce finančně podpořil a pořídit fotodokumentaci o propagaci poskytovatele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).</w:t>
      </w:r>
      <w:r w:rsidR="002421E5"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8EB92B6" w14:textId="77777777" w:rsidR="008529FB" w:rsidRPr="003C24F8" w:rsidRDefault="008529FB" w:rsidP="00A147FC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br/>
        <w:t>o zadávání veřejných zakázek, je povinen při její realizaci postupovat dle tohoto zákona.</w:t>
      </w:r>
    </w:p>
    <w:p w14:paraId="30683319" w14:textId="77777777" w:rsidR="008529FB" w:rsidRPr="003C24F8" w:rsidRDefault="008529FB" w:rsidP="00A147FC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čl. 1 odst. 6 </w:t>
      </w:r>
      <w:r w:rsidRPr="003C24F8">
        <w:rPr>
          <w:rFonts w:ascii="Arial" w:eastAsia="Times New Roman" w:hAnsi="Arial" w:cs="Arial"/>
          <w:bCs/>
          <w:iCs/>
          <w:sz w:val="24"/>
          <w:szCs w:val="24"/>
          <w:highlight w:val="lightGray"/>
          <w:lang w:eastAsia="cs-CZ"/>
        </w:rPr>
        <w:t>nebo čl. 1 odst. 13 Zásad.</w:t>
      </w:r>
      <w:r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 xml:space="preserve"> (odkaz na odst. 13 se uvede v případě, že dotace bude poskytována v režimu de </w:t>
      </w:r>
      <w:proofErr w:type="spellStart"/>
      <w:r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bCs/>
          <w:i/>
          <w:iCs/>
          <w:sz w:val="24"/>
          <w:szCs w:val="24"/>
          <w:highlight w:val="lightGray"/>
          <w:lang w:eastAsia="cs-CZ"/>
        </w:rPr>
        <w:t>, tj. pokud v čl. III budou uvedeny odstavce 2-5)</w:t>
      </w:r>
    </w:p>
    <w:p w14:paraId="287D1DE6" w14:textId="7777777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 Zásad, kterou ve lhůtě stanovené Zásadami neoznámil poskytovateli.</w:t>
      </w:r>
    </w:p>
    <w:p w14:paraId="62F0D5E5" w14:textId="77777777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C24F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C4AAE1F" w14:textId="77777777" w:rsidR="008529FB" w:rsidRPr="003C24F8" w:rsidRDefault="008529FB" w:rsidP="008529F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806C5BC" w14:textId="4712553C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</w:t>
      </w:r>
      <w:r w:rsidR="00136A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66DC9B68" w14:textId="77777777" w:rsidR="008529FB" w:rsidRPr="003C24F8" w:rsidRDefault="008529FB" w:rsidP="008529FB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) poskytovatelem poskytována v režimu de </w:t>
      </w:r>
      <w:proofErr w:type="spellStart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 V takovém případě se ve smlouvě uvedou následující odst. 2-5:</w:t>
      </w:r>
    </w:p>
    <w:p w14:paraId="3842C404" w14:textId="77777777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 které bylo zveřejněno v Úředním věstníku Evropské unie č. L 352/1 dne 24. prosince 2013.</w:t>
      </w:r>
    </w:p>
    <w:p w14:paraId="7466A21F" w14:textId="77777777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206662D8" w14:textId="77777777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(uveřejněno v úředním věstníku EU dne 24. 12. 2013 č. L 352/1)</w:t>
      </w:r>
      <w:r w:rsidRPr="003C24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2EABB62" w14:textId="77777777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minimis</w:t>
      </w:r>
      <w:proofErr w:type="spellEnd"/>
      <w:r w:rsidRPr="003C24F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poskytnutou dle této smlouvy upravit v Centrálním registru podpor malého rozsahu.</w:t>
      </w:r>
    </w:p>
    <w:p w14:paraId="522359F2" w14:textId="074BFEAB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 w:rsidR="00136A12">
        <w:rPr>
          <w:rFonts w:ascii="Arial" w:hAnsi="Arial" w:cs="Arial"/>
          <w:sz w:val="24"/>
          <w:szCs w:val="24"/>
          <w:lang w:eastAsia="cs-CZ"/>
        </w:rPr>
        <w:br/>
      </w:r>
      <w:r w:rsidRPr="003C24F8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313E6D5C" w14:textId="7219DB78" w:rsidR="008529FB" w:rsidRPr="003C24F8" w:rsidRDefault="008529FB" w:rsidP="008529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C24F8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136A12">
        <w:rPr>
          <w:rFonts w:ascii="Arial" w:hAnsi="Arial" w:cs="Arial"/>
          <w:sz w:val="24"/>
          <w:szCs w:val="24"/>
          <w:lang w:eastAsia="cs-CZ"/>
        </w:rPr>
        <w:br/>
      </w:r>
      <w:r w:rsidRPr="003C24F8">
        <w:rPr>
          <w:rFonts w:ascii="Arial" w:hAnsi="Arial" w:cs="Arial"/>
          <w:sz w:val="24"/>
          <w:szCs w:val="24"/>
          <w:lang w:eastAsia="cs-CZ"/>
        </w:rPr>
        <w:t>§ 10d zákona č. 250/2000 Sb., o rozpočtových pravidlech územních rozpočtů, ve znění pozdějších právních předpisů.</w:t>
      </w:r>
    </w:p>
    <w:p w14:paraId="79C65B47" w14:textId="2D5C58D6" w:rsidR="008529FB" w:rsidRPr="003C24F8" w:rsidRDefault="008529FB" w:rsidP="00E968C6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49A8B2C5" w14:textId="77777777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7DF12B2" w14:textId="77777777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73DD1C6A" w14:textId="7452D1FB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136A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o způsobech zpracování a právech příjemce při zpracování osobních údajů jsou zveřejněny na webových stránkách Olomouckého kraje </w:t>
      </w:r>
      <w:hyperlink r:id="rId10" w:history="1">
        <w:r w:rsidRPr="003C24F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C24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9801FA" w14:textId="77777777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proofErr w:type="gramStart"/>
      <w:r w:rsidRPr="003C24F8">
        <w:rPr>
          <w:rFonts w:ascii="Arial" w:eastAsia="Times New Roman" w:hAnsi="Arial" w:cs="Arial"/>
          <w:sz w:val="24"/>
          <w:szCs w:val="24"/>
          <w:lang w:eastAsia="cs-CZ"/>
        </w:rPr>
        <w:t>č. ......... ze</w:t>
      </w:r>
      <w:proofErr w:type="gramEnd"/>
      <w:r w:rsidRPr="003C24F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69083D9" w14:textId="77777777" w:rsidR="008529FB" w:rsidRPr="003C24F8" w:rsidRDefault="008529FB" w:rsidP="00A147FC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011F063C" w14:textId="77777777" w:rsidR="008529FB" w:rsidRPr="003C24F8" w:rsidRDefault="008529FB" w:rsidP="008529F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C24F8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13B8AA9C" w14:textId="77777777" w:rsidR="009B0F59" w:rsidRPr="003C24F8" w:rsidRDefault="009B0F59">
      <w:pPr>
        <w:rPr>
          <w:rFonts w:ascii="Arial" w:hAnsi="Arial" w:cs="Arial"/>
          <w:bCs/>
        </w:rPr>
      </w:pPr>
    </w:p>
    <w:sectPr w:rsidR="009B0F59" w:rsidRPr="003C24F8" w:rsidSect="00E968C6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510" w:gutter="0"/>
      <w:pgNumType w:start="3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C8A2" w14:textId="77777777" w:rsidR="00B246C5" w:rsidRDefault="00B246C5" w:rsidP="00D40C40">
      <w:r>
        <w:separator/>
      </w:r>
    </w:p>
  </w:endnote>
  <w:endnote w:type="continuationSeparator" w:id="0">
    <w:p w14:paraId="5BA4D696" w14:textId="77777777" w:rsidR="00B246C5" w:rsidRDefault="00B246C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1500568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396638793"/>
          <w:docPartObj>
            <w:docPartGallery w:val="Page Numbers (Bottom of Page)"/>
            <w:docPartUnique/>
          </w:docPartObj>
        </w:sdtPr>
        <w:sdtEndPr/>
        <w:sdtContent>
          <w:p w14:paraId="23D281EE" w14:textId="0459E003" w:rsidR="00F9113D" w:rsidRDefault="00F9113D" w:rsidP="00F9113D">
            <w:pPr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CC6A54">
              <w:rPr>
                <w:rFonts w:ascii="Arial" w:hAnsi="Arial" w:cs="Arial"/>
                <w:i/>
                <w:iCs/>
                <w:sz w:val="20"/>
                <w:szCs w:val="20"/>
              </w:rPr>
              <w:t>Zastupitelstvo Olomouckého kraje 12. 12. 2022</w:t>
            </w:r>
            <w:r w:rsidRPr="00CC6A54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CC6A54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CC6A54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Strana </w:t>
            </w:r>
            <w:r w:rsidRPr="00CC6A5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CC6A5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instrText xml:space="preserve"> PAGE </w:instrText>
            </w:r>
            <w:r w:rsidRPr="00CC6A5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3F5323">
              <w:rPr>
                <w:rStyle w:val="slostrnky"/>
                <w:rFonts w:ascii="Arial" w:hAnsi="Arial" w:cs="Arial"/>
                <w:i/>
                <w:iCs/>
                <w:noProof/>
                <w:sz w:val="20"/>
                <w:szCs w:val="20"/>
              </w:rPr>
              <w:t>53</w:t>
            </w:r>
            <w:r w:rsidRPr="00CC6A5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CC6A5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t xml:space="preserve"> (celkem 8</w:t>
            </w:r>
            <w:r w:rsidR="003F5323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CC6A54">
              <w:rPr>
                <w:rStyle w:val="slostrnky"/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sdtContent>
      </w:sdt>
    </w:sdtContent>
  </w:sdt>
  <w:p w14:paraId="2FED9BC6" w14:textId="51C43C19" w:rsidR="004F722B" w:rsidRPr="00F9113D" w:rsidRDefault="00846BF3" w:rsidP="00F9113D">
    <w:pPr>
      <w:pStyle w:val="Zpat"/>
      <w:pBdr>
        <w:top w:val="single" w:sz="4" w:space="1" w:color="auto"/>
      </w:pBdr>
      <w:tabs>
        <w:tab w:val="left" w:pos="315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9. - </w:t>
    </w:r>
    <w:r w:rsidR="004F722B" w:rsidRPr="00D75863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13_02 Program na podporu JSDH 202</w:t>
    </w:r>
    <w:r w:rsidR="004F722B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4F722B" w:rsidRPr="00D7586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vyhlášení</w:t>
    </w:r>
  </w:p>
  <w:p w14:paraId="78D3D6ED" w14:textId="0600ADF8" w:rsidR="004F722B" w:rsidRPr="001A2BE0" w:rsidRDefault="004F722B" w:rsidP="001A2BE0">
    <w:pPr>
      <w:pStyle w:val="Zpat"/>
      <w:jc w:val="left"/>
    </w:pPr>
    <w:r w:rsidRPr="004C16B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Usnesení příloha </w:t>
    </w:r>
    <w:r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č. 3 - Vzorové smlouvy pro DT č. 13_02_1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4F722B" w:rsidRDefault="004F72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4F722B" w:rsidRPr="00CA24A0" w:rsidRDefault="004F722B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2DDE" w14:textId="77777777" w:rsidR="00B246C5" w:rsidRDefault="00B246C5" w:rsidP="00D40C40">
      <w:r>
        <w:separator/>
      </w:r>
    </w:p>
  </w:footnote>
  <w:footnote w:type="continuationSeparator" w:id="0">
    <w:p w14:paraId="4E8E9114" w14:textId="77777777" w:rsidR="00B246C5" w:rsidRDefault="00B246C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12D3" w14:textId="77777777" w:rsidR="004F722B" w:rsidRPr="00DB2D6A" w:rsidRDefault="004F722B" w:rsidP="006A5B44">
    <w:pPr>
      <w:pStyle w:val="Zpat"/>
      <w:jc w:val="left"/>
    </w:pPr>
    <w:r w:rsidRPr="004C16B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Usnesení příloha </w:t>
    </w:r>
    <w:r w:rsidRPr="00DB2D6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č. 3 - Vzorové smlouvy pro DT č. 13_02_1</w:t>
    </w:r>
  </w:p>
  <w:p w14:paraId="6FC2D490" w14:textId="77777777" w:rsidR="004F722B" w:rsidRDefault="004F72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EB185D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0CB372E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CD8764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E103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39CC0BF8"/>
    <w:multiLevelType w:val="hybridMultilevel"/>
    <w:tmpl w:val="9D5ECCF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07738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411052F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92F592C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4E0B3A6F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4296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6CBF364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7DF7B30"/>
    <w:multiLevelType w:val="hybridMultilevel"/>
    <w:tmpl w:val="586C9F5C"/>
    <w:lvl w:ilvl="0" w:tplc="2B62D47A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 w:numId="14">
    <w:abstractNumId w:val="9"/>
  </w:num>
  <w:num w:numId="15">
    <w:abstractNumId w:val="5"/>
  </w:num>
  <w:num w:numId="16">
    <w:abstractNumId w:val="12"/>
  </w:num>
  <w:num w:numId="17">
    <w:abstractNumId w:val="2"/>
  </w:num>
  <w:num w:numId="18">
    <w:abstractNumId w:val="6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3866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250F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00E5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A12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4A1D"/>
    <w:rsid w:val="00165A7E"/>
    <w:rsid w:val="0016665E"/>
    <w:rsid w:val="0016783B"/>
    <w:rsid w:val="001705B5"/>
    <w:rsid w:val="00170896"/>
    <w:rsid w:val="00170B02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BE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946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336E"/>
    <w:rsid w:val="00214670"/>
    <w:rsid w:val="00214805"/>
    <w:rsid w:val="00217023"/>
    <w:rsid w:val="00217820"/>
    <w:rsid w:val="00220A93"/>
    <w:rsid w:val="00220FF7"/>
    <w:rsid w:val="00221034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4BC"/>
    <w:rsid w:val="002408F0"/>
    <w:rsid w:val="002409C2"/>
    <w:rsid w:val="00240D4A"/>
    <w:rsid w:val="002421E5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32D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24F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239"/>
    <w:rsid w:val="003E17BF"/>
    <w:rsid w:val="003E24B7"/>
    <w:rsid w:val="003E385E"/>
    <w:rsid w:val="003E489A"/>
    <w:rsid w:val="003E6768"/>
    <w:rsid w:val="003E692E"/>
    <w:rsid w:val="003E7028"/>
    <w:rsid w:val="003E7B52"/>
    <w:rsid w:val="003F1AF8"/>
    <w:rsid w:val="003F272F"/>
    <w:rsid w:val="003F5323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046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22B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1734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00E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0B8A"/>
    <w:rsid w:val="00593E65"/>
    <w:rsid w:val="00594745"/>
    <w:rsid w:val="00594759"/>
    <w:rsid w:val="0059526D"/>
    <w:rsid w:val="00597D7B"/>
    <w:rsid w:val="005A2AC3"/>
    <w:rsid w:val="005A5A90"/>
    <w:rsid w:val="005A6189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3D3B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2990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16FD"/>
    <w:rsid w:val="00632D35"/>
    <w:rsid w:val="006334EE"/>
    <w:rsid w:val="00633683"/>
    <w:rsid w:val="0063512A"/>
    <w:rsid w:val="00637DDC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64A"/>
    <w:rsid w:val="00660C32"/>
    <w:rsid w:val="006629E1"/>
    <w:rsid w:val="006630A5"/>
    <w:rsid w:val="00663A39"/>
    <w:rsid w:val="00663A69"/>
    <w:rsid w:val="006647EA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5B44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1E3F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0AE5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A34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2C12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3432"/>
    <w:rsid w:val="007F500D"/>
    <w:rsid w:val="007F57AE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6BF3"/>
    <w:rsid w:val="008479FE"/>
    <w:rsid w:val="008506AE"/>
    <w:rsid w:val="008525B2"/>
    <w:rsid w:val="008529FB"/>
    <w:rsid w:val="008556B1"/>
    <w:rsid w:val="008560B7"/>
    <w:rsid w:val="0085615A"/>
    <w:rsid w:val="00856F2E"/>
    <w:rsid w:val="00863E3C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572"/>
    <w:rsid w:val="00882BA6"/>
    <w:rsid w:val="00884637"/>
    <w:rsid w:val="00885BED"/>
    <w:rsid w:val="00892667"/>
    <w:rsid w:val="0089541F"/>
    <w:rsid w:val="0089625A"/>
    <w:rsid w:val="00896A7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1D0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066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4DDF"/>
    <w:rsid w:val="009660B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47FC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567D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A6FDE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2D3D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46C5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169A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063B"/>
    <w:rsid w:val="00C7203F"/>
    <w:rsid w:val="00C73D04"/>
    <w:rsid w:val="00C73FE7"/>
    <w:rsid w:val="00C748F1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7D1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5F8B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27EB8"/>
    <w:rsid w:val="00E32B3B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01E6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E9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8C6"/>
    <w:rsid w:val="00E96911"/>
    <w:rsid w:val="00E9726F"/>
    <w:rsid w:val="00E974E3"/>
    <w:rsid w:val="00EA065E"/>
    <w:rsid w:val="00EA067A"/>
    <w:rsid w:val="00EA08D7"/>
    <w:rsid w:val="00EA1785"/>
    <w:rsid w:val="00EA2A9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5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0B27"/>
    <w:rsid w:val="00EE1459"/>
    <w:rsid w:val="00EE2726"/>
    <w:rsid w:val="00EE2CEC"/>
    <w:rsid w:val="00EE35A0"/>
    <w:rsid w:val="00EE420D"/>
    <w:rsid w:val="00EE4E48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5230"/>
    <w:rsid w:val="00F26645"/>
    <w:rsid w:val="00F26921"/>
    <w:rsid w:val="00F2708F"/>
    <w:rsid w:val="00F27955"/>
    <w:rsid w:val="00F302D8"/>
    <w:rsid w:val="00F31B25"/>
    <w:rsid w:val="00F31D1C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13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7E9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F9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kraj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FFC4-C956-4361-8862-E1C9BE64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24</Pages>
  <Words>9147</Words>
  <Characters>53972</Characters>
  <Application>Microsoft Office Word</Application>
  <DocSecurity>0</DocSecurity>
  <Lines>449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62994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21</cp:revision>
  <cp:lastPrinted>2018-08-24T12:55:00Z</cp:lastPrinted>
  <dcterms:created xsi:type="dcterms:W3CDTF">2022-10-12T12:39:00Z</dcterms:created>
  <dcterms:modified xsi:type="dcterms:W3CDTF">2022-11-23T09:33:00Z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