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Pr="00957345" w:rsidRDefault="009A3DA5" w:rsidP="005B48E4">
      <w:pPr>
        <w:spacing w:before="48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36271D8" w:rsidR="00E62519" w:rsidRPr="00957345" w:rsidRDefault="00E62519" w:rsidP="005B48E4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8E4" w:rsidRPr="00232182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</w:t>
      </w:r>
      <w:r w:rsidR="005B48E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B48E4" w:rsidRPr="00232182">
        <w:rPr>
          <w:rFonts w:ascii="Arial" w:eastAsia="Times New Roman" w:hAnsi="Arial" w:cs="Arial"/>
          <w:sz w:val="24"/>
          <w:szCs w:val="24"/>
          <w:lang w:eastAsia="cs-CZ"/>
        </w:rPr>
        <w:t>UZ/1/7/2020 ze dne 30. 10. 2020</w:t>
      </w:r>
    </w:p>
    <w:p w14:paraId="6F420F65" w14:textId="0417BA43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0E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8E4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Olomouc, č. </w:t>
      </w:r>
      <w:proofErr w:type="spellStart"/>
      <w:r w:rsidR="005B48E4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5B48E4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03B86E4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807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Horní Studénky</w:t>
      </w:r>
    </w:p>
    <w:p w14:paraId="6113BCE4" w14:textId="086189F9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07150">
        <w:rPr>
          <w:rFonts w:ascii="Arial" w:eastAsia="Times New Roman" w:hAnsi="Arial" w:cs="Arial"/>
          <w:sz w:val="24"/>
          <w:szCs w:val="24"/>
          <w:lang w:eastAsia="cs-CZ"/>
        </w:rPr>
        <w:t>Horní Studénky 44</w:t>
      </w:r>
      <w:r w:rsidR="006A7A8F">
        <w:rPr>
          <w:rFonts w:ascii="Arial" w:eastAsia="Times New Roman" w:hAnsi="Arial" w:cs="Arial"/>
          <w:sz w:val="24"/>
          <w:szCs w:val="24"/>
          <w:lang w:eastAsia="cs-CZ"/>
        </w:rPr>
        <w:t>, 789 01 Horní Studénky</w:t>
      </w:r>
    </w:p>
    <w:p w14:paraId="0DA8BA59" w14:textId="77777777" w:rsidR="009C66B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07150">
        <w:rPr>
          <w:rFonts w:ascii="Arial" w:eastAsia="Times New Roman" w:hAnsi="Arial" w:cs="Arial"/>
          <w:sz w:val="24"/>
          <w:szCs w:val="24"/>
          <w:lang w:eastAsia="cs-CZ"/>
        </w:rPr>
        <w:t>00635944</w:t>
      </w:r>
    </w:p>
    <w:p w14:paraId="03CA258C" w14:textId="60F51927" w:rsidR="00621063" w:rsidRPr="00957345" w:rsidRDefault="009C66B2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CZ00635944</w:t>
      </w:r>
      <w:r w:rsidR="0062106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D0F234E" w14:textId="7965DC53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7A8F">
        <w:rPr>
          <w:rFonts w:ascii="Arial" w:eastAsia="Times New Roman" w:hAnsi="Arial" w:cs="Arial"/>
          <w:sz w:val="24"/>
          <w:szCs w:val="24"/>
          <w:lang w:eastAsia="cs-CZ"/>
        </w:rPr>
        <w:t>Mgr. Josefem Minářem</w:t>
      </w:r>
      <w:r w:rsidR="00807150"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14:paraId="48CA510F" w14:textId="059E9224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07150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č. </w:t>
      </w:r>
      <w:proofErr w:type="spellStart"/>
      <w:r w:rsidR="00807150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807150">
        <w:rPr>
          <w:rFonts w:ascii="Arial" w:eastAsia="Times New Roman" w:hAnsi="Arial" w:cs="Arial"/>
          <w:sz w:val="24"/>
          <w:szCs w:val="24"/>
          <w:lang w:eastAsia="cs-CZ"/>
        </w:rPr>
        <w:t xml:space="preserve"> 13628841/0100 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B5DBBF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E8648F">
        <w:rPr>
          <w:rFonts w:ascii="Arial" w:eastAsia="Times New Roman" w:hAnsi="Arial" w:cs="Arial"/>
          <w:sz w:val="24"/>
          <w:szCs w:val="24"/>
          <w:lang w:eastAsia="cs-CZ"/>
        </w:rPr>
        <w:t>600 000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E8648F">
        <w:rPr>
          <w:rFonts w:ascii="Arial" w:eastAsia="Times New Roman" w:hAnsi="Arial" w:cs="Arial"/>
          <w:sz w:val="24"/>
          <w:szCs w:val="24"/>
          <w:lang w:eastAsia="cs-CZ"/>
        </w:rPr>
        <w:t>šest set tisíc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945A471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807EE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1F4A1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46F4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648F" w:rsidRPr="00E8648F">
        <w:rPr>
          <w:rFonts w:ascii="Arial" w:eastAsia="Times New Roman" w:hAnsi="Arial" w:cs="Arial"/>
          <w:sz w:val="24"/>
          <w:szCs w:val="24"/>
          <w:lang w:eastAsia="cs-CZ"/>
        </w:rPr>
        <w:t>„Oprava místních komunikací v obci Horní Studénky“</w:t>
      </w:r>
      <w:r w:rsidR="008A49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3C9258D0" w14:textId="687075A6" w:rsidR="009A3DA5" w:rsidRPr="00807E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5DFDDB46" w:rsidR="009A3DA5" w:rsidRPr="00ED643F" w:rsidRDefault="009A3DA5" w:rsidP="00ED643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8A49B8">
        <w:rPr>
          <w:rFonts w:ascii="Arial" w:eastAsia="Times New Roman" w:hAnsi="Arial" w:cs="Arial"/>
          <w:sz w:val="24"/>
          <w:szCs w:val="24"/>
          <w:lang w:eastAsia="cs-CZ"/>
        </w:rPr>
        <w:t>neinvestiční.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FD90A8D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</w:t>
      </w:r>
      <w:r w:rsidR="00ED64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1DCC1A" w:rsidR="00001074" w:rsidRPr="001F4A1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="00BD130A" w:rsidRPr="001F4A10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1F4A10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2C2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2023“ </w:t>
      </w:r>
      <w:r w:rsidR="00ED68BB" w:rsidRPr="001F4A10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31960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01_01_01_Podpora budování a obnovy infrastruktury obce </w:t>
      </w:r>
      <w:r w:rsidR="00ED68BB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Zásadami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8CDD3A9" w:rsidR="00645B75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E8648F" w:rsidRPr="00E8648F">
        <w:rPr>
          <w:rFonts w:ascii="Arial" w:eastAsia="Times New Roman" w:hAnsi="Arial" w:cs="Arial"/>
          <w:sz w:val="24"/>
          <w:szCs w:val="24"/>
          <w:lang w:eastAsia="cs-CZ"/>
        </w:rPr>
        <w:t>opravu povrchu (souvislé udržovací práce) místní komunikace, označené dle pasportu MK 8C, MK 9C, MK 10C</w:t>
      </w:r>
      <w:r w:rsidR="008A49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550A474C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</w:t>
      </w:r>
      <w:r w:rsidR="00F415C7">
        <w:rPr>
          <w:rFonts w:ascii="Arial" w:eastAsia="Times New Roman" w:hAnsi="Arial" w:cs="Arial"/>
          <w:sz w:val="24"/>
          <w:szCs w:val="24"/>
          <w:lang w:eastAsia="cs-CZ"/>
        </w:rPr>
        <w:t>ace musí být použita hospodárně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F4A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F4A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10542C7C" w:rsidR="009A3DA5" w:rsidRPr="004A5F2B" w:rsidRDefault="009A3DA5" w:rsidP="004A5F2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BFA62CD" w:rsidR="009A3DA5" w:rsidRPr="00E319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746911B" w:rsidR="001455CD" w:rsidRPr="00F335A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75B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5B5E2DC0" w:rsidR="009A3DA5" w:rsidRPr="001F4A10" w:rsidRDefault="009A3DA5" w:rsidP="004A5F2B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dotaci nejpozději do</w:t>
      </w:r>
      <w:r w:rsidR="00F335AE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20. 12. 2023. </w:t>
      </w:r>
    </w:p>
    <w:p w14:paraId="3C9258E7" w14:textId="71DB7D41" w:rsidR="009A3DA5" w:rsidRPr="001F4A10" w:rsidRDefault="009A3DA5" w:rsidP="004A5F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230B38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1. 1. 2023 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56673C9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8A49B8">
        <w:rPr>
          <w:rFonts w:ascii="Arial" w:eastAsia="Times New Roman" w:hAnsi="Arial" w:cs="Arial"/>
          <w:sz w:val="24"/>
          <w:szCs w:val="24"/>
          <w:lang w:eastAsia="cs-CZ"/>
        </w:rPr>
        <w:t xml:space="preserve">7 820 000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8A49B8">
        <w:rPr>
          <w:rFonts w:ascii="Arial" w:eastAsia="Times New Roman" w:hAnsi="Arial" w:cs="Arial"/>
          <w:sz w:val="24"/>
          <w:szCs w:val="24"/>
          <w:lang w:eastAsia="cs-CZ"/>
        </w:rPr>
        <w:t xml:space="preserve">sedm milionů osm set dvacet tisíc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8A49B8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="008A49B8">
        <w:rPr>
          <w:rFonts w:ascii="Arial" w:hAnsi="Arial" w:cs="Arial"/>
          <w:sz w:val="24"/>
          <w:szCs w:val="24"/>
        </w:rPr>
        <w:t>50</w:t>
      </w:r>
      <w:r w:rsidRPr="00957345">
        <w:rPr>
          <w:rFonts w:ascii="Arial" w:hAnsi="Arial" w:cs="Arial"/>
          <w:sz w:val="24"/>
          <w:szCs w:val="24"/>
        </w:rPr>
        <w:t xml:space="preserve"> % </w:t>
      </w:r>
      <w:r w:rsidR="004A5F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9D48301" w:rsidR="00CB5336" w:rsidRPr="004A5F2B" w:rsidRDefault="009C2373" w:rsidP="004A5F2B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A45B86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3DC7B264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8A5A8F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31. 12. 2023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3B9A403" w:rsidR="00A9730D" w:rsidRPr="001F4A10" w:rsidRDefault="00F32B92" w:rsidP="0096335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dotace dle této smlouvy, a to v rozsahu uvedeném 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1F4A1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1F4A10">
        <w:rPr>
          <w:rFonts w:ascii="Arial" w:hAnsi="Arial" w:cs="Arial"/>
          <w:sz w:val="24"/>
          <w:szCs w:val="24"/>
        </w:rPr>
        <w:t>10.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8A5A8F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1F4A10">
        <w:rPr>
          <w:rFonts w:ascii="Arial" w:hAnsi="Arial" w:cs="Arial"/>
          <w:sz w:val="24"/>
          <w:szCs w:val="24"/>
        </w:rPr>
        <w:t xml:space="preserve"> Pravidel</w:t>
      </w:r>
      <w:r w:rsidR="00840C0F" w:rsidRPr="001F4A10">
        <w:rPr>
          <w:rFonts w:ascii="Arial" w:hAnsi="Arial" w:cs="Arial"/>
          <w:sz w:val="24"/>
          <w:szCs w:val="24"/>
        </w:rPr>
        <w:t>.</w:t>
      </w:r>
    </w:p>
    <w:p w14:paraId="2FDE39D2" w14:textId="63279EFB" w:rsidR="00822CBA" w:rsidRPr="00C6015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874970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114ECD8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069A22C" w14:textId="4E8D91A8" w:rsidR="00C60155" w:rsidRPr="001F4A10" w:rsidRDefault="00C60155" w:rsidP="00C6015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="00F415C7"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(UZ 443)</w:t>
      </w:r>
      <w:r w:rsidRPr="00C6015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CD02A7C" w14:textId="36C1809B" w:rsidR="00A9730D" w:rsidRPr="001F4A10" w:rsidRDefault="00C60155" w:rsidP="0096335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38FAC365" w14:textId="3F8EC3DD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lhůtě pro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1F4A10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10EBADF" w:rsidR="00A9730D" w:rsidRPr="00963351" w:rsidRDefault="009C5E46" w:rsidP="0096335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4404C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2023“ pro dotační titul 01_01_01_Podpora budování a obnovy infrastruktury obce</w:t>
      </w:r>
      <w:r w:rsidR="004404C7" w:rsidRPr="004404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9633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závěrečné zprávy je příjemce povinen předložit poskytovateli</w:t>
      </w:r>
      <w:r w:rsidR="005079DE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stavebního úřadu nebo kolaudační souhlas v případě, že stavba bude ve smyslu zákona č. 183/2006 Sb., o územním plánování a 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a dokumentaci splnění povinné propagace poskytovatele a užití loga poskytovatele a ochranné známky POV  dle čl. II. odst. 10 této smlouvy 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vč.</w:t>
      </w:r>
      <w:r w:rsidR="00963351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printscreenu webových stránek nebo sociálních sítí s logem poskytovatele a</w:t>
      </w:r>
      <w:r w:rsidR="00963351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ochranné známky POV</w:t>
      </w:r>
      <w:r w:rsidR="005079DE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079DE" w:rsidRPr="001F4A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8E3118" w14:textId="4B949922" w:rsidR="00A9730D" w:rsidRPr="00893B78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F4A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1F4A1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6335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1F4A1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F4A1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93B78" w:rsidRPr="001F4A1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F51F5F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 č.</w:t>
      </w:r>
      <w:r w:rsidR="00F9626C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1F4A10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1A2F53" w:rsidRPr="001F4A10">
        <w:rPr>
          <w:rFonts w:ascii="Arial" w:hAnsi="Arial" w:cs="Arial"/>
          <w:sz w:val="24"/>
          <w:szCs w:val="24"/>
        </w:rPr>
        <w:t>poskytovatele č. 27-4228320287/0100.</w:t>
      </w:r>
      <w:r w:rsidR="00D40813" w:rsidRPr="001F4A10">
        <w:rPr>
          <w:rFonts w:ascii="Arial" w:hAnsi="Arial" w:cs="Arial"/>
          <w:sz w:val="24"/>
          <w:szCs w:val="24"/>
        </w:rPr>
        <w:t xml:space="preserve"> </w:t>
      </w:r>
    </w:p>
    <w:p w14:paraId="57AF1CAB" w14:textId="47801DD4" w:rsidR="00163897" w:rsidRPr="009314E2" w:rsidRDefault="009A3DA5" w:rsidP="009314E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4711E03D" w14:textId="347D0FB0" w:rsidR="00836AA2" w:rsidRPr="001F4A10" w:rsidRDefault="00836AA2" w:rsidP="009314E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povinen uvádět logo poskytovatele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na svých webových stránkách nebo sociálních sítích po dobu od nabytí účinnosti této smlouvy nejméně do 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30. 6. 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umístit reklamní panel minimálně ve formátu A4, nebo obdobné zařízení, s logem poskytovatele a ochrannou známkou POV do místa, ve kterém je realizována podpořená akce nebo v sídle příjemce dotace, po dobu od nabytí účinnosti této smlouvy nejméně do 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30. 6. 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Spolu s logem poskytovatele dotace a ochrannou známkou POV bude uvedena informace, že poskytovatel akci finančně podpořil. </w:t>
      </w:r>
    </w:p>
    <w:p w14:paraId="6EAF043A" w14:textId="569BC616" w:rsidR="00836AA2" w:rsidRPr="001F4A10" w:rsidRDefault="00836AA2" w:rsidP="009314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1F4A1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F4A1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F4A1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4A27B18D" w:rsidR="009A3DA5" w:rsidRPr="001F4A1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260DF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 odst. 10 této smlouvy.</w:t>
      </w:r>
    </w:p>
    <w:p w14:paraId="3C92591A" w14:textId="5E0F83A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51A58D7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6A2CB522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724AF2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BCAADAF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967DE39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255252">
        <w:rPr>
          <w:rFonts w:ascii="Arial" w:hAnsi="Arial" w:cs="Arial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32161346" w:rsidR="00B96E96" w:rsidRPr="004A1B91" w:rsidRDefault="00E25D52" w:rsidP="004A1B9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1B91">
        <w:rPr>
          <w:rFonts w:ascii="Arial" w:hAnsi="Arial" w:cs="Arial"/>
          <w:sz w:val="24"/>
          <w:szCs w:val="24"/>
          <w:lang w:eastAsia="cs-CZ"/>
        </w:rPr>
        <w:t>T</w:t>
      </w:r>
      <w:r w:rsidR="00DF45DD" w:rsidRPr="004A1B9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4A1B9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CD37B57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5F6A9E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C2365B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551E04">
        <w:rPr>
          <w:rFonts w:ascii="Arial" w:eastAsia="Times New Roman" w:hAnsi="Arial" w:cs="Arial"/>
          <w:sz w:val="24"/>
          <w:szCs w:val="24"/>
          <w:lang w:eastAsia="cs-CZ"/>
        </w:rPr>
        <w:t>54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/2023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24. 4. 2023</w:t>
      </w:r>
      <w:r w:rsidR="007436EF">
        <w:rPr>
          <w:rFonts w:ascii="Arial" w:eastAsia="Times New Roman" w:hAnsi="Arial" w:cs="Arial"/>
          <w:sz w:val="24"/>
          <w:szCs w:val="24"/>
          <w:lang w:eastAsia="cs-CZ"/>
        </w:rPr>
        <w:t xml:space="preserve"> a č. UZ/16/67/2023 ze dne 18. 9. 2023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2F76B523" w:rsidR="009B0F59" w:rsidRDefault="009B0F59" w:rsidP="004B5811">
      <w:pPr>
        <w:ind w:left="0" w:firstLine="0"/>
        <w:rPr>
          <w:rFonts w:ascii="Arial" w:hAnsi="Arial" w:cs="Arial"/>
          <w:bCs/>
        </w:rPr>
      </w:pPr>
    </w:p>
    <w:p w14:paraId="780FDB20" w14:textId="13564B8C" w:rsidR="000B3250" w:rsidRPr="000B3250" w:rsidRDefault="000B3250" w:rsidP="000B3250">
      <w:pPr>
        <w:rPr>
          <w:rFonts w:ascii="Arial" w:hAnsi="Arial" w:cs="Arial"/>
        </w:rPr>
      </w:pPr>
    </w:p>
    <w:p w14:paraId="709CE324" w14:textId="4DC2DF80" w:rsidR="000B3250" w:rsidRPr="000B3250" w:rsidRDefault="000B3250" w:rsidP="000B3250">
      <w:pPr>
        <w:rPr>
          <w:rFonts w:ascii="Arial" w:hAnsi="Arial" w:cs="Arial"/>
        </w:rPr>
      </w:pPr>
    </w:p>
    <w:p w14:paraId="4805226B" w14:textId="08063273" w:rsidR="000B3250" w:rsidRPr="000B3250" w:rsidRDefault="000B3250" w:rsidP="000B3250">
      <w:pPr>
        <w:rPr>
          <w:rFonts w:ascii="Arial" w:hAnsi="Arial" w:cs="Arial"/>
        </w:rPr>
      </w:pPr>
    </w:p>
    <w:p w14:paraId="70CA1581" w14:textId="13A7EAC1" w:rsidR="000B3250" w:rsidRPr="000B3250" w:rsidRDefault="000B3250" w:rsidP="000B3250">
      <w:pPr>
        <w:rPr>
          <w:rFonts w:ascii="Arial" w:hAnsi="Arial" w:cs="Arial"/>
        </w:rPr>
      </w:pPr>
    </w:p>
    <w:p w14:paraId="2BE5AF61" w14:textId="2585D7BC" w:rsidR="000B3250" w:rsidRPr="000B3250" w:rsidRDefault="000B3250" w:rsidP="000B3250">
      <w:pPr>
        <w:rPr>
          <w:rFonts w:ascii="Arial" w:hAnsi="Arial" w:cs="Arial"/>
        </w:rPr>
      </w:pPr>
    </w:p>
    <w:p w14:paraId="1AB20351" w14:textId="3A3600DC" w:rsidR="000B3250" w:rsidRPr="000B3250" w:rsidRDefault="000B3250" w:rsidP="000B3250">
      <w:pPr>
        <w:rPr>
          <w:rFonts w:ascii="Arial" w:hAnsi="Arial" w:cs="Arial"/>
        </w:rPr>
      </w:pPr>
    </w:p>
    <w:p w14:paraId="44CBC7DF" w14:textId="58BF8895" w:rsidR="000B3250" w:rsidRPr="000B3250" w:rsidRDefault="000B3250" w:rsidP="000B3250">
      <w:pPr>
        <w:rPr>
          <w:rFonts w:ascii="Arial" w:hAnsi="Arial" w:cs="Arial"/>
        </w:rPr>
      </w:pPr>
    </w:p>
    <w:p w14:paraId="46E79C69" w14:textId="3E6851A5" w:rsidR="000B3250" w:rsidRPr="000B3250" w:rsidRDefault="000B3250" w:rsidP="000B3250">
      <w:pPr>
        <w:rPr>
          <w:rFonts w:ascii="Arial" w:hAnsi="Arial" w:cs="Arial"/>
        </w:rPr>
      </w:pPr>
    </w:p>
    <w:p w14:paraId="4310F731" w14:textId="7CE7DAE1" w:rsidR="000B3250" w:rsidRPr="000B3250" w:rsidRDefault="000B3250" w:rsidP="000B3250">
      <w:pPr>
        <w:rPr>
          <w:rFonts w:ascii="Arial" w:hAnsi="Arial" w:cs="Arial"/>
        </w:rPr>
      </w:pPr>
    </w:p>
    <w:p w14:paraId="65C4DFE6" w14:textId="4CCE65A0" w:rsidR="000B3250" w:rsidRPr="000B3250" w:rsidRDefault="000B3250" w:rsidP="000B3250">
      <w:pPr>
        <w:rPr>
          <w:rFonts w:ascii="Arial" w:hAnsi="Arial" w:cs="Arial"/>
        </w:rPr>
      </w:pPr>
    </w:p>
    <w:p w14:paraId="251D9A9F" w14:textId="7BC18406" w:rsidR="000B3250" w:rsidRPr="000B3250" w:rsidRDefault="000B3250" w:rsidP="000B3250">
      <w:pPr>
        <w:rPr>
          <w:rFonts w:ascii="Arial" w:hAnsi="Arial" w:cs="Arial"/>
        </w:rPr>
      </w:pPr>
    </w:p>
    <w:p w14:paraId="49F2D835" w14:textId="045D572D" w:rsidR="000B3250" w:rsidRPr="000B3250" w:rsidRDefault="000B3250" w:rsidP="000B3250">
      <w:pPr>
        <w:rPr>
          <w:rFonts w:ascii="Arial" w:hAnsi="Arial" w:cs="Arial"/>
        </w:rPr>
      </w:pPr>
    </w:p>
    <w:p w14:paraId="0BE61EBC" w14:textId="1635CD6B" w:rsidR="000B3250" w:rsidRPr="000B3250" w:rsidRDefault="000B3250" w:rsidP="000B3250">
      <w:pPr>
        <w:rPr>
          <w:rFonts w:ascii="Arial" w:hAnsi="Arial" w:cs="Arial"/>
        </w:rPr>
      </w:pPr>
    </w:p>
    <w:p w14:paraId="29164169" w14:textId="55D8342E" w:rsidR="000B3250" w:rsidRPr="000B3250" w:rsidRDefault="000B3250" w:rsidP="000B3250">
      <w:pPr>
        <w:rPr>
          <w:rFonts w:ascii="Arial" w:hAnsi="Arial" w:cs="Arial"/>
        </w:rPr>
      </w:pPr>
    </w:p>
    <w:p w14:paraId="6256BD26" w14:textId="34A33EFC" w:rsidR="000B3250" w:rsidRPr="000B3250" w:rsidRDefault="000B3250" w:rsidP="000B3250">
      <w:pPr>
        <w:rPr>
          <w:rFonts w:ascii="Arial" w:hAnsi="Arial" w:cs="Arial"/>
        </w:rPr>
      </w:pPr>
    </w:p>
    <w:p w14:paraId="75B41DC3" w14:textId="19E6C857" w:rsidR="000B3250" w:rsidRPr="000B3250" w:rsidRDefault="000B3250" w:rsidP="000B3250">
      <w:pPr>
        <w:rPr>
          <w:rFonts w:ascii="Arial" w:hAnsi="Arial" w:cs="Arial"/>
        </w:rPr>
      </w:pPr>
    </w:p>
    <w:p w14:paraId="45A066E1" w14:textId="3597A533" w:rsidR="000B3250" w:rsidRPr="000B3250" w:rsidRDefault="000B3250" w:rsidP="000B3250">
      <w:pPr>
        <w:rPr>
          <w:rFonts w:ascii="Arial" w:hAnsi="Arial" w:cs="Arial"/>
        </w:rPr>
      </w:pPr>
    </w:p>
    <w:p w14:paraId="15A958BE" w14:textId="1CBE21E1" w:rsidR="000B3250" w:rsidRPr="000B3250" w:rsidRDefault="000B3250" w:rsidP="000B3250">
      <w:pPr>
        <w:rPr>
          <w:rFonts w:ascii="Arial" w:hAnsi="Arial" w:cs="Arial"/>
        </w:rPr>
      </w:pPr>
    </w:p>
    <w:p w14:paraId="452678B3" w14:textId="6FF13B33" w:rsidR="000B3250" w:rsidRPr="000B3250" w:rsidRDefault="000B3250" w:rsidP="000B3250">
      <w:pPr>
        <w:rPr>
          <w:rFonts w:ascii="Arial" w:hAnsi="Arial" w:cs="Arial"/>
        </w:rPr>
      </w:pPr>
    </w:p>
    <w:p w14:paraId="1478FB02" w14:textId="0042295D" w:rsidR="000B3250" w:rsidRPr="000B3250" w:rsidRDefault="000B3250" w:rsidP="000B3250">
      <w:pPr>
        <w:rPr>
          <w:rFonts w:ascii="Arial" w:hAnsi="Arial" w:cs="Arial"/>
        </w:rPr>
      </w:pPr>
    </w:p>
    <w:p w14:paraId="053979A7" w14:textId="08FCBD3C" w:rsidR="000B3250" w:rsidRPr="000B3250" w:rsidRDefault="000B3250" w:rsidP="000B3250">
      <w:pPr>
        <w:rPr>
          <w:rFonts w:ascii="Arial" w:hAnsi="Arial" w:cs="Arial"/>
        </w:rPr>
      </w:pPr>
    </w:p>
    <w:p w14:paraId="62F4662C" w14:textId="5500828F" w:rsidR="000B3250" w:rsidRPr="000B3250" w:rsidRDefault="000B3250" w:rsidP="000B3250">
      <w:pPr>
        <w:rPr>
          <w:rFonts w:ascii="Arial" w:hAnsi="Arial" w:cs="Arial"/>
        </w:rPr>
      </w:pPr>
    </w:p>
    <w:p w14:paraId="0F9D7E92" w14:textId="280D599E" w:rsidR="000B3250" w:rsidRPr="000B3250" w:rsidRDefault="000B3250" w:rsidP="000B3250">
      <w:pPr>
        <w:rPr>
          <w:rFonts w:ascii="Arial" w:hAnsi="Arial" w:cs="Arial"/>
        </w:rPr>
      </w:pPr>
    </w:p>
    <w:p w14:paraId="2333CD2E" w14:textId="15531BD4" w:rsidR="000B3250" w:rsidRPr="000B3250" w:rsidRDefault="000B3250" w:rsidP="000B3250">
      <w:pPr>
        <w:rPr>
          <w:rFonts w:ascii="Arial" w:hAnsi="Arial" w:cs="Arial"/>
        </w:rPr>
      </w:pPr>
    </w:p>
    <w:p w14:paraId="305F5DBF" w14:textId="559C3809" w:rsidR="000B3250" w:rsidRPr="000B3250" w:rsidRDefault="000B3250" w:rsidP="000B3250">
      <w:pPr>
        <w:rPr>
          <w:rFonts w:ascii="Arial" w:hAnsi="Arial" w:cs="Arial"/>
        </w:rPr>
      </w:pPr>
    </w:p>
    <w:p w14:paraId="651E8E54" w14:textId="60471D48" w:rsidR="000B3250" w:rsidRPr="000B3250" w:rsidRDefault="000B3250" w:rsidP="000B3250">
      <w:pPr>
        <w:rPr>
          <w:rFonts w:ascii="Arial" w:hAnsi="Arial" w:cs="Arial"/>
        </w:rPr>
      </w:pPr>
    </w:p>
    <w:p w14:paraId="233B3B29" w14:textId="32594BDE" w:rsidR="000B3250" w:rsidRPr="000B3250" w:rsidRDefault="000B3250" w:rsidP="000B3250">
      <w:pPr>
        <w:rPr>
          <w:rFonts w:ascii="Arial" w:hAnsi="Arial" w:cs="Arial"/>
        </w:rPr>
      </w:pPr>
    </w:p>
    <w:p w14:paraId="26C0516D" w14:textId="3B008AE7" w:rsidR="000B3250" w:rsidRDefault="000B3250" w:rsidP="000B3250">
      <w:pPr>
        <w:rPr>
          <w:rFonts w:ascii="Arial" w:hAnsi="Arial" w:cs="Arial"/>
          <w:bCs/>
        </w:rPr>
      </w:pPr>
    </w:p>
    <w:p w14:paraId="1EDDA4A0" w14:textId="38014666" w:rsidR="000B3250" w:rsidRDefault="000B3250" w:rsidP="000B3250">
      <w:pPr>
        <w:rPr>
          <w:rFonts w:ascii="Arial" w:hAnsi="Arial" w:cs="Arial"/>
          <w:bCs/>
        </w:rPr>
      </w:pPr>
    </w:p>
    <w:p w14:paraId="23F67A58" w14:textId="77777777" w:rsidR="000B3250" w:rsidRPr="000B3250" w:rsidRDefault="000B3250" w:rsidP="000B3250">
      <w:pPr>
        <w:jc w:val="center"/>
        <w:rPr>
          <w:rFonts w:ascii="Arial" w:hAnsi="Arial" w:cs="Arial"/>
        </w:rPr>
      </w:pPr>
    </w:p>
    <w:sectPr w:rsidR="000B3250" w:rsidRPr="000B3250" w:rsidSect="005B48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136A" w14:textId="77777777" w:rsidR="00147E08" w:rsidRDefault="00147E08" w:rsidP="00D40C40">
      <w:r>
        <w:separator/>
      </w:r>
    </w:p>
  </w:endnote>
  <w:endnote w:type="continuationSeparator" w:id="0">
    <w:p w14:paraId="50C2897B" w14:textId="77777777" w:rsidR="00147E08" w:rsidRDefault="00147E0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833247"/>
      <w:docPartObj>
        <w:docPartGallery w:val="Page Numbers (Bottom of Page)"/>
        <w:docPartUnique/>
      </w:docPartObj>
    </w:sdtPr>
    <w:sdtEndPr/>
    <w:sdtContent>
      <w:sdt>
        <w:sdtPr>
          <w:id w:val="1417676578"/>
          <w:docPartObj>
            <w:docPartGallery w:val="Page Numbers (Bottom of Page)"/>
            <w:docPartUnique/>
          </w:docPartObj>
        </w:sdtPr>
        <w:sdtEndPr/>
        <w:sdtContent>
          <w:p w14:paraId="6F17111E" w14:textId="77777777" w:rsidR="006A6E57" w:rsidRDefault="006A6E57" w:rsidP="006A6E57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</w:t>
            </w:r>
          </w:p>
          <w:p w14:paraId="62F8A535" w14:textId="28C9A4CE" w:rsidR="006A6E57" w:rsidRPr="005E48D6" w:rsidRDefault="000B3250" w:rsidP="006A6E57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stupitelstvo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>. 202</w:t>
            </w:r>
            <w:r w:rsidR="006A6E57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                              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Strana 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6A6E57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6A6E57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7E6BF16" w14:textId="2B525691" w:rsidR="006A6E57" w:rsidRPr="004868C3" w:rsidRDefault="000B3250" w:rsidP="006A6E57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74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6A6E57">
              <w:rPr>
                <w:rFonts w:ascii="Arial" w:hAnsi="Arial" w:cs="Arial"/>
                <w:i/>
                <w:sz w:val="20"/>
                <w:szCs w:val="20"/>
              </w:rPr>
              <w:t xml:space="preserve">Dotační program 01_01 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>Program obnovy venkova Olomouckého kraje 202</w:t>
            </w:r>
            <w:r w:rsidR="006A6E57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6A6E57" w:rsidRPr="005E48D6">
              <w:rPr>
                <w:rFonts w:ascii="Arial" w:hAnsi="Arial" w:cs="Arial"/>
                <w:i/>
                <w:sz w:val="20"/>
                <w:szCs w:val="20"/>
              </w:rPr>
              <w:t xml:space="preserve"> - žádosti příjemců  </w:t>
            </w:r>
          </w:p>
          <w:p w14:paraId="1A3CAC38" w14:textId="325B4324" w:rsidR="005B48E4" w:rsidRDefault="006A6E57" w:rsidP="006A6E57">
            <w:pPr>
              <w:pStyle w:val="Zpat"/>
              <w:ind w:left="0" w:firstLine="0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říloha č. 01 – Veřejnoprávní smlouva o poskytnutí programové dotace č. 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/023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35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/OSR/DSM mezi Olomouckým krajem a obcí H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orní Studénky</w:t>
            </w:r>
          </w:p>
        </w:sdtContent>
      </w:sdt>
    </w:sdtContent>
  </w:sdt>
  <w:p w14:paraId="78D3D6ED" w14:textId="1DB3F8E8" w:rsidR="00B622A2" w:rsidRPr="005B48E4" w:rsidRDefault="00B622A2" w:rsidP="005B48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526642"/>
      <w:docPartObj>
        <w:docPartGallery w:val="Page Numbers (Bottom of Page)"/>
        <w:docPartUnique/>
      </w:docPartObj>
    </w:sdtPr>
    <w:sdtEndPr/>
    <w:sdtContent>
      <w:p w14:paraId="4B23CA34" w14:textId="77777777" w:rsidR="006A6E57" w:rsidRDefault="006A6E57" w:rsidP="006A6E57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__________________________________________________________________________</w:t>
        </w:r>
      </w:p>
      <w:p w14:paraId="3710FB7E" w14:textId="1C68221A" w:rsidR="006A6E57" w:rsidRPr="005E48D6" w:rsidRDefault="000B3250" w:rsidP="006A6E57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6A6E57" w:rsidRPr="005E48D6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6A6E57" w:rsidRPr="005E48D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6A6E57" w:rsidRPr="005E48D6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6A6E57" w:rsidRPr="005E48D6">
          <w:rPr>
            <w:rFonts w:ascii="Arial" w:hAnsi="Arial" w:cs="Arial"/>
            <w:i/>
            <w:sz w:val="20"/>
            <w:szCs w:val="20"/>
          </w:rPr>
          <w:t>. 202</w:t>
        </w:r>
        <w:r w:rsidR="006A6E57">
          <w:rPr>
            <w:rFonts w:ascii="Arial" w:hAnsi="Arial" w:cs="Arial"/>
            <w:i/>
            <w:sz w:val="20"/>
            <w:szCs w:val="20"/>
          </w:rPr>
          <w:t>3</w:t>
        </w:r>
        <w:r w:rsidR="006A6E57" w:rsidRPr="005E48D6">
          <w:rPr>
            <w:rFonts w:ascii="Arial" w:hAnsi="Arial" w:cs="Arial"/>
            <w:i/>
            <w:sz w:val="20"/>
            <w:szCs w:val="20"/>
          </w:rPr>
          <w:tab/>
          <w:t xml:space="preserve">                               </w:t>
        </w:r>
        <w:r w:rsidR="006A6E57" w:rsidRPr="005E48D6">
          <w:rPr>
            <w:rFonts w:ascii="Arial" w:hAnsi="Arial" w:cs="Arial"/>
            <w:i/>
            <w:sz w:val="20"/>
            <w:szCs w:val="20"/>
          </w:rPr>
          <w:tab/>
          <w:t xml:space="preserve"> Strana </w:t>
        </w:r>
        <w:r w:rsidR="006A6E57" w:rsidRPr="005E48D6">
          <w:rPr>
            <w:rFonts w:ascii="Arial" w:hAnsi="Arial" w:cs="Arial"/>
            <w:i/>
            <w:sz w:val="20"/>
            <w:szCs w:val="20"/>
          </w:rPr>
          <w:fldChar w:fldCharType="begin"/>
        </w:r>
        <w:r w:rsidR="006A6E57" w:rsidRPr="005E48D6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6A6E57" w:rsidRPr="005E48D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A6E57">
          <w:rPr>
            <w:rFonts w:ascii="Arial" w:hAnsi="Arial" w:cs="Arial"/>
            <w:i/>
          </w:rPr>
          <w:t>1</w:t>
        </w:r>
        <w:r w:rsidR="006A6E57" w:rsidRPr="005E48D6">
          <w:rPr>
            <w:rFonts w:ascii="Arial" w:hAnsi="Arial" w:cs="Arial"/>
            <w:i/>
            <w:sz w:val="20"/>
            <w:szCs w:val="20"/>
          </w:rPr>
          <w:fldChar w:fldCharType="end"/>
        </w:r>
        <w:r w:rsidR="006A6E57" w:rsidRPr="005E48D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6A6E57">
          <w:rPr>
            <w:rFonts w:ascii="Arial" w:hAnsi="Arial" w:cs="Arial"/>
            <w:i/>
            <w:sz w:val="20"/>
            <w:szCs w:val="20"/>
          </w:rPr>
          <w:t>8</w:t>
        </w:r>
        <w:r w:rsidR="006A6E57" w:rsidRPr="005E48D6">
          <w:rPr>
            <w:rFonts w:ascii="Arial" w:hAnsi="Arial" w:cs="Arial"/>
            <w:i/>
            <w:sz w:val="20"/>
            <w:szCs w:val="20"/>
          </w:rPr>
          <w:t>)</w:t>
        </w:r>
      </w:p>
      <w:p w14:paraId="218CD902" w14:textId="5B647513" w:rsidR="006A6E57" w:rsidRPr="004868C3" w:rsidRDefault="000B3250" w:rsidP="006A6E57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  <w:sz w:val="20"/>
            <w:szCs w:val="20"/>
          </w:rPr>
          <w:t>74</w:t>
        </w:r>
        <w:r w:rsidR="006A6E57" w:rsidRPr="005E48D6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6A6E57">
          <w:rPr>
            <w:rFonts w:ascii="Arial" w:hAnsi="Arial" w:cs="Arial"/>
            <w:i/>
            <w:sz w:val="20"/>
            <w:szCs w:val="20"/>
          </w:rPr>
          <w:t xml:space="preserve">Dotační program 01_01 </w:t>
        </w:r>
        <w:r w:rsidR="006A6E57" w:rsidRPr="005E48D6">
          <w:rPr>
            <w:rFonts w:ascii="Arial" w:hAnsi="Arial" w:cs="Arial"/>
            <w:i/>
            <w:sz w:val="20"/>
            <w:szCs w:val="20"/>
          </w:rPr>
          <w:t>Program obnovy venkova Olomouckého kraje 202</w:t>
        </w:r>
        <w:r w:rsidR="006A6E57">
          <w:rPr>
            <w:rFonts w:ascii="Arial" w:hAnsi="Arial" w:cs="Arial"/>
            <w:i/>
            <w:sz w:val="20"/>
            <w:szCs w:val="20"/>
          </w:rPr>
          <w:t>3</w:t>
        </w:r>
        <w:r w:rsidR="006A6E57" w:rsidRPr="005E48D6">
          <w:rPr>
            <w:rFonts w:ascii="Arial" w:hAnsi="Arial" w:cs="Arial"/>
            <w:i/>
            <w:sz w:val="20"/>
            <w:szCs w:val="20"/>
          </w:rPr>
          <w:t xml:space="preserve"> - žádosti příjemců  </w:t>
        </w:r>
      </w:p>
      <w:p w14:paraId="391B58AA" w14:textId="17219D7F" w:rsidR="00A375C6" w:rsidRPr="00CA24A0" w:rsidRDefault="006A6E57" w:rsidP="002C2940">
        <w:pPr>
          <w:pStyle w:val="Zpat"/>
          <w:ind w:left="0" w:firstLine="0"/>
        </w:pPr>
        <w:r>
          <w:rPr>
            <w:rFonts w:ascii="Arial" w:hAnsi="Arial" w:cs="Arial"/>
            <w:bCs/>
            <w:i/>
            <w:sz w:val="20"/>
            <w:szCs w:val="20"/>
          </w:rPr>
          <w:t>P</w:t>
        </w:r>
        <w:r w:rsidRPr="003A2B6B">
          <w:rPr>
            <w:rFonts w:ascii="Arial" w:hAnsi="Arial" w:cs="Arial"/>
            <w:bCs/>
            <w:i/>
            <w:sz w:val="20"/>
            <w:szCs w:val="20"/>
          </w:rPr>
          <w:t>říloha č. 01 – Veřejnoprávní smlouva o poskytnutí programové dotace č. 202</w:t>
        </w:r>
        <w:r>
          <w:rPr>
            <w:rFonts w:ascii="Arial" w:hAnsi="Arial" w:cs="Arial"/>
            <w:bCs/>
            <w:i/>
            <w:sz w:val="20"/>
            <w:szCs w:val="20"/>
          </w:rPr>
          <w:t>3</w:t>
        </w:r>
        <w:r w:rsidRPr="003A2B6B">
          <w:rPr>
            <w:rFonts w:ascii="Arial" w:hAnsi="Arial" w:cs="Arial"/>
            <w:bCs/>
            <w:i/>
            <w:sz w:val="20"/>
            <w:szCs w:val="20"/>
          </w:rPr>
          <w:t>/023</w:t>
        </w:r>
        <w:r>
          <w:rPr>
            <w:rFonts w:ascii="Arial" w:hAnsi="Arial" w:cs="Arial"/>
            <w:bCs/>
            <w:i/>
            <w:sz w:val="20"/>
            <w:szCs w:val="20"/>
          </w:rPr>
          <w:t>35</w:t>
        </w:r>
        <w:r w:rsidRPr="003A2B6B">
          <w:rPr>
            <w:rFonts w:ascii="Arial" w:hAnsi="Arial" w:cs="Arial"/>
            <w:bCs/>
            <w:i/>
            <w:sz w:val="20"/>
            <w:szCs w:val="20"/>
          </w:rPr>
          <w:t>/OSR/DSM mezi Olomouckým krajem a obcí H</w:t>
        </w:r>
        <w:r>
          <w:rPr>
            <w:rFonts w:ascii="Arial" w:hAnsi="Arial" w:cs="Arial"/>
            <w:bCs/>
            <w:i/>
            <w:sz w:val="20"/>
            <w:szCs w:val="20"/>
          </w:rPr>
          <w:t>orní Studénky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FEB6" w14:textId="77777777" w:rsidR="00147E08" w:rsidRDefault="00147E08" w:rsidP="00D40C40">
      <w:r>
        <w:separator/>
      </w:r>
    </w:p>
  </w:footnote>
  <w:footnote w:type="continuationSeparator" w:id="0">
    <w:p w14:paraId="7FEDC277" w14:textId="77777777" w:rsidR="00147E08" w:rsidRDefault="00147E0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6D0C" w14:textId="0231B9BB" w:rsidR="00870B31" w:rsidRDefault="00870B31" w:rsidP="00870B31">
    <w:pPr>
      <w:pStyle w:val="Zhlav"/>
      <w:ind w:left="0" w:firstLine="0"/>
    </w:pPr>
    <w:r w:rsidRPr="006A6E57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6A6E57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6A6E57">
      <w:rPr>
        <w:rFonts w:ascii="Arial" w:hAnsi="Arial" w:cs="Arial"/>
        <w:bCs/>
        <w:i/>
        <w:iCs/>
        <w:sz w:val="24"/>
        <w:szCs w:val="24"/>
      </w:rPr>
      <w:t xml:space="preserve"> č. 01 – Veřejnoprávní smlouva o poskytnutí programové dotace č. 2023/02335/OSR/DSM mezi Olomouckým krajem a obcí Horní Studénky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7519" w14:textId="77777777" w:rsidR="00870B31" w:rsidRDefault="006A6E57" w:rsidP="006A6E57">
    <w:pPr>
      <w:pStyle w:val="Zhlav"/>
      <w:ind w:left="0" w:firstLine="0"/>
      <w:rPr>
        <w:rFonts w:ascii="Arial" w:hAnsi="Arial" w:cs="Arial"/>
        <w:noProof/>
        <w:color w:val="006AAA"/>
        <w:lang w:eastAsia="cs-CZ"/>
      </w:rPr>
    </w:pPr>
    <w:r w:rsidRPr="006A6E57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6A6E57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6A6E57">
      <w:rPr>
        <w:rFonts w:ascii="Arial" w:hAnsi="Arial" w:cs="Arial"/>
        <w:bCs/>
        <w:i/>
        <w:iCs/>
        <w:sz w:val="24"/>
        <w:szCs w:val="24"/>
      </w:rPr>
      <w:t xml:space="preserve"> č. 01 – Veřejnoprávní smlouva o poskytnutí programové dotace č. 2023/02335/OSR/DSM mezi Olomouckým krajem a obcí Horní Studénky</w:t>
    </w:r>
    <w:r w:rsidRPr="00990DEA">
      <w:rPr>
        <w:rFonts w:ascii="Arial" w:hAnsi="Arial" w:cs="Arial"/>
        <w:noProof/>
        <w:color w:val="006AAA"/>
        <w:lang w:eastAsia="cs-CZ"/>
      </w:rPr>
      <w:t xml:space="preserve"> </w:t>
    </w:r>
    <w:r>
      <w:rPr>
        <w:rFonts w:ascii="Arial" w:hAnsi="Arial" w:cs="Arial"/>
        <w:noProof/>
        <w:color w:val="006AAA"/>
        <w:lang w:eastAsia="cs-CZ"/>
      </w:rPr>
      <w:tab/>
    </w:r>
    <w:r>
      <w:rPr>
        <w:rFonts w:ascii="Arial" w:hAnsi="Arial" w:cs="Arial"/>
        <w:noProof/>
        <w:color w:val="006AAA"/>
        <w:lang w:eastAsia="cs-CZ"/>
      </w:rPr>
      <w:tab/>
    </w:r>
  </w:p>
  <w:p w14:paraId="4F4C2392" w14:textId="1D9D1BE9" w:rsidR="005B48E4" w:rsidRDefault="00870B31" w:rsidP="006A6E57">
    <w:pPr>
      <w:pStyle w:val="Zhlav"/>
      <w:ind w:left="0" w:firstLine="0"/>
    </w:pPr>
    <w:r>
      <w:rPr>
        <w:rFonts w:ascii="Arial" w:hAnsi="Arial" w:cs="Arial"/>
        <w:noProof/>
        <w:color w:val="006AAA"/>
        <w:lang w:eastAsia="cs-CZ"/>
      </w:rPr>
      <w:tab/>
    </w:r>
    <w:r>
      <w:rPr>
        <w:rFonts w:ascii="Arial" w:hAnsi="Arial" w:cs="Arial"/>
        <w:noProof/>
        <w:color w:val="006AAA"/>
        <w:lang w:eastAsia="cs-CZ"/>
      </w:rPr>
      <w:tab/>
    </w:r>
    <w:r w:rsidR="005B48E4">
      <w:rPr>
        <w:rFonts w:ascii="Arial" w:hAnsi="Arial" w:cs="Arial"/>
      </w:rPr>
      <w:t>2023/</w:t>
    </w:r>
    <w:r w:rsidR="00DB5C78" w:rsidRPr="00DB5C78">
      <w:rPr>
        <w:rFonts w:ascii="Arial" w:hAnsi="Arial" w:cs="Arial"/>
      </w:rPr>
      <w:t>02335</w:t>
    </w:r>
    <w:r w:rsidR="005B48E4">
      <w:rPr>
        <w:rFonts w:ascii="Arial" w:hAnsi="Arial" w:cs="Arial"/>
      </w:rPr>
      <w:t>/OSR/DSM</w:t>
    </w:r>
  </w:p>
  <w:p w14:paraId="36FD7759" w14:textId="37A6897A" w:rsidR="005B48E4" w:rsidRDefault="00870B31" w:rsidP="005B48E4">
    <w:pPr>
      <w:pStyle w:val="Zhlav"/>
      <w:jc w:val="right"/>
    </w:pPr>
    <w:r w:rsidRPr="00990DEA">
      <w:rPr>
        <w:rFonts w:ascii="Arial" w:hAnsi="Arial" w:cs="Arial"/>
        <w:noProof/>
        <w:color w:val="006AAA"/>
        <w:lang w:eastAsia="cs-CZ"/>
      </w:rPr>
      <w:drawing>
        <wp:anchor distT="0" distB="0" distL="114300" distR="114300" simplePos="0" relativeHeight="251659264" behindDoc="0" locked="0" layoutInCell="1" allowOverlap="1" wp14:anchorId="6DD9458D" wp14:editId="6502EDA7">
          <wp:simplePos x="0" y="0"/>
          <wp:positionH relativeFrom="column">
            <wp:posOffset>4316730</wp:posOffset>
          </wp:positionH>
          <wp:positionV relativeFrom="page">
            <wp:posOffset>1178560</wp:posOffset>
          </wp:positionV>
          <wp:extent cx="1439545" cy="42799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D86CF8" w14:textId="42F7CDFF" w:rsidR="005B48E4" w:rsidRDefault="005B48E4" w:rsidP="005B48E4">
    <w:pPr>
      <w:pStyle w:val="Zhlav"/>
    </w:pPr>
  </w:p>
  <w:p w14:paraId="14A2EDF3" w14:textId="77777777" w:rsidR="005B48E4" w:rsidRDefault="005B4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1DC8FA44"/>
    <w:lvl w:ilvl="0" w:tplc="A72001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699388">
    <w:abstractNumId w:val="30"/>
  </w:num>
  <w:num w:numId="2" w16cid:durableId="105470086">
    <w:abstractNumId w:val="21"/>
  </w:num>
  <w:num w:numId="3" w16cid:durableId="138160240">
    <w:abstractNumId w:val="14"/>
  </w:num>
  <w:num w:numId="4" w16cid:durableId="1787433083">
    <w:abstractNumId w:val="32"/>
  </w:num>
  <w:num w:numId="5" w16cid:durableId="1773278804">
    <w:abstractNumId w:val="15"/>
  </w:num>
  <w:num w:numId="6" w16cid:durableId="931090532">
    <w:abstractNumId w:val="29"/>
  </w:num>
  <w:num w:numId="7" w16cid:durableId="1768768156">
    <w:abstractNumId w:val="7"/>
  </w:num>
  <w:num w:numId="8" w16cid:durableId="334919164">
    <w:abstractNumId w:val="17"/>
  </w:num>
  <w:num w:numId="9" w16cid:durableId="32077176">
    <w:abstractNumId w:val="2"/>
  </w:num>
  <w:num w:numId="10" w16cid:durableId="580725397">
    <w:abstractNumId w:val="8"/>
  </w:num>
  <w:num w:numId="11" w16cid:durableId="1909070016">
    <w:abstractNumId w:val="11"/>
  </w:num>
  <w:num w:numId="12" w16cid:durableId="693270696">
    <w:abstractNumId w:val="6"/>
  </w:num>
  <w:num w:numId="13" w16cid:durableId="550574287">
    <w:abstractNumId w:val="19"/>
  </w:num>
  <w:num w:numId="14" w16cid:durableId="1600529247">
    <w:abstractNumId w:val="26"/>
  </w:num>
  <w:num w:numId="15" w16cid:durableId="494877860">
    <w:abstractNumId w:val="34"/>
  </w:num>
  <w:num w:numId="16" w16cid:durableId="18823559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6945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31880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7223745">
    <w:abstractNumId w:val="1"/>
  </w:num>
  <w:num w:numId="20" w16cid:durableId="1922374694">
    <w:abstractNumId w:val="0"/>
  </w:num>
  <w:num w:numId="21" w16cid:durableId="877426399">
    <w:abstractNumId w:val="23"/>
  </w:num>
  <w:num w:numId="22" w16cid:durableId="1076979169">
    <w:abstractNumId w:val="12"/>
  </w:num>
  <w:num w:numId="23" w16cid:durableId="1187906575">
    <w:abstractNumId w:val="4"/>
  </w:num>
  <w:num w:numId="24" w16cid:durableId="842938874">
    <w:abstractNumId w:val="3"/>
  </w:num>
  <w:num w:numId="25" w16cid:durableId="857161656">
    <w:abstractNumId w:val="13"/>
  </w:num>
  <w:num w:numId="26" w16cid:durableId="815802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1927103">
    <w:abstractNumId w:val="9"/>
  </w:num>
  <w:num w:numId="28" w16cid:durableId="1310135554">
    <w:abstractNumId w:val="16"/>
  </w:num>
  <w:num w:numId="29" w16cid:durableId="982662474">
    <w:abstractNumId w:val="18"/>
  </w:num>
  <w:num w:numId="30" w16cid:durableId="180628301">
    <w:abstractNumId w:val="20"/>
  </w:num>
  <w:num w:numId="31" w16cid:durableId="451830030">
    <w:abstractNumId w:val="10"/>
  </w:num>
  <w:num w:numId="32" w16cid:durableId="1932618581">
    <w:abstractNumId w:val="33"/>
  </w:num>
  <w:num w:numId="33" w16cid:durableId="945620251">
    <w:abstractNumId w:val="28"/>
  </w:num>
  <w:num w:numId="34" w16cid:durableId="1485126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5822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26745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9929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25847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2269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5726528">
    <w:abstractNumId w:val="27"/>
  </w:num>
  <w:num w:numId="41" w16cid:durableId="462428655">
    <w:abstractNumId w:val="24"/>
  </w:num>
  <w:num w:numId="42" w16cid:durableId="53523912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4E15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3250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47E08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F53"/>
    <w:rsid w:val="001A336F"/>
    <w:rsid w:val="001A3CC1"/>
    <w:rsid w:val="001A3D85"/>
    <w:rsid w:val="001A4883"/>
    <w:rsid w:val="001A49B5"/>
    <w:rsid w:val="001A4E6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3AC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A10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B38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18A4"/>
    <w:rsid w:val="002436D6"/>
    <w:rsid w:val="00243E17"/>
    <w:rsid w:val="0024408B"/>
    <w:rsid w:val="00244A06"/>
    <w:rsid w:val="00244FED"/>
    <w:rsid w:val="00245C50"/>
    <w:rsid w:val="00246F45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252"/>
    <w:rsid w:val="00255AB8"/>
    <w:rsid w:val="00255AE2"/>
    <w:rsid w:val="00257F52"/>
    <w:rsid w:val="002601DB"/>
    <w:rsid w:val="00260DF5"/>
    <w:rsid w:val="002618EA"/>
    <w:rsid w:val="002653DF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8F0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E761A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04C7"/>
    <w:rsid w:val="0044177D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9D1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B91"/>
    <w:rsid w:val="004A1C0E"/>
    <w:rsid w:val="004A27E8"/>
    <w:rsid w:val="004A31D3"/>
    <w:rsid w:val="004A59CA"/>
    <w:rsid w:val="004A5F2B"/>
    <w:rsid w:val="004A63C0"/>
    <w:rsid w:val="004B000B"/>
    <w:rsid w:val="004B09B0"/>
    <w:rsid w:val="004B192A"/>
    <w:rsid w:val="004B2C4B"/>
    <w:rsid w:val="004B3ABA"/>
    <w:rsid w:val="004B4678"/>
    <w:rsid w:val="004B5811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34E4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079DE"/>
    <w:rsid w:val="005116E9"/>
    <w:rsid w:val="00511EA8"/>
    <w:rsid w:val="0051486B"/>
    <w:rsid w:val="00514A01"/>
    <w:rsid w:val="00515C03"/>
    <w:rsid w:val="0051618F"/>
    <w:rsid w:val="00516437"/>
    <w:rsid w:val="00516DB5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0C9D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1E04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E4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01D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47FF2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1C8"/>
    <w:rsid w:val="006A27CE"/>
    <w:rsid w:val="006A3B8C"/>
    <w:rsid w:val="006A47B1"/>
    <w:rsid w:val="006A566F"/>
    <w:rsid w:val="006A5892"/>
    <w:rsid w:val="006A638B"/>
    <w:rsid w:val="006A6E57"/>
    <w:rsid w:val="006A775D"/>
    <w:rsid w:val="006A7A8F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175F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436EF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2C2D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401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0B56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07150"/>
    <w:rsid w:val="00807EE7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0B31"/>
    <w:rsid w:val="008719BA"/>
    <w:rsid w:val="008751B8"/>
    <w:rsid w:val="00875B2E"/>
    <w:rsid w:val="008771BB"/>
    <w:rsid w:val="0087783F"/>
    <w:rsid w:val="008824D6"/>
    <w:rsid w:val="00882BA6"/>
    <w:rsid w:val="00885BED"/>
    <w:rsid w:val="00892667"/>
    <w:rsid w:val="00893B78"/>
    <w:rsid w:val="0089541F"/>
    <w:rsid w:val="0089625A"/>
    <w:rsid w:val="008A3F8C"/>
    <w:rsid w:val="008A49B8"/>
    <w:rsid w:val="008A5202"/>
    <w:rsid w:val="008A56FF"/>
    <w:rsid w:val="008A5862"/>
    <w:rsid w:val="008A5A8F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14E2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3351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66B2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0E1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140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1FC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02D9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4DD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365B"/>
    <w:rsid w:val="00C2743A"/>
    <w:rsid w:val="00C30594"/>
    <w:rsid w:val="00C31237"/>
    <w:rsid w:val="00C32822"/>
    <w:rsid w:val="00C33655"/>
    <w:rsid w:val="00C34051"/>
    <w:rsid w:val="00C34A99"/>
    <w:rsid w:val="00C34D62"/>
    <w:rsid w:val="00C35596"/>
    <w:rsid w:val="00C369B7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155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5C78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500A"/>
    <w:rsid w:val="00E20D91"/>
    <w:rsid w:val="00E2179C"/>
    <w:rsid w:val="00E21EF9"/>
    <w:rsid w:val="00E22986"/>
    <w:rsid w:val="00E25D52"/>
    <w:rsid w:val="00E261F7"/>
    <w:rsid w:val="00E26B33"/>
    <w:rsid w:val="00E276C5"/>
    <w:rsid w:val="00E31960"/>
    <w:rsid w:val="00E3383E"/>
    <w:rsid w:val="00E33B48"/>
    <w:rsid w:val="00E3579E"/>
    <w:rsid w:val="00E367CC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1C1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8648F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184C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3F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35AE"/>
    <w:rsid w:val="00F34BFD"/>
    <w:rsid w:val="00F35336"/>
    <w:rsid w:val="00F35DEC"/>
    <w:rsid w:val="00F36721"/>
    <w:rsid w:val="00F37102"/>
    <w:rsid w:val="00F415C7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C68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26C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57A3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446E-1942-416E-9506-3F81A70E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2709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6</cp:revision>
  <cp:lastPrinted>2018-08-24T12:55:00Z</cp:lastPrinted>
  <dcterms:created xsi:type="dcterms:W3CDTF">2023-11-07T09:51:00Z</dcterms:created>
  <dcterms:modified xsi:type="dcterms:W3CDTF">2023-11-21T12:35:00Z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