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A22B7" w14:textId="53851789" w:rsidR="00BE17FF" w:rsidRDefault="00BE17FF" w:rsidP="00BE17FF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01 k návrhu usnesení bod </w:t>
      </w:r>
      <w:r w:rsidR="00167F80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AF631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28A28A71" w14:textId="77777777" w:rsidR="00BE17FF" w:rsidRDefault="00BE17FF" w:rsidP="00BE17FF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EA5E138" w14:textId="77777777" w:rsidR="00BE17FF" w:rsidRDefault="00BE17FF" w:rsidP="00BE17FF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darovací smlouvy </w:t>
      </w:r>
    </w:p>
    <w:p w14:paraId="3CBE2F2F" w14:textId="77777777" w:rsidR="00BE17FF" w:rsidRDefault="00BE17FF" w:rsidP="00BE17FF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724F211" w14:textId="77777777" w:rsidR="00BE17FF" w:rsidRDefault="00BE17FF" w:rsidP="00BE17FF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0F6767C5" w14:textId="77777777" w:rsidR="00BE17FF" w:rsidRDefault="00BE17FF" w:rsidP="00BE17FF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Olomoucký kraj, jako dárce </w:t>
      </w:r>
    </w:p>
    <w:p w14:paraId="0D04B222" w14:textId="239B49DB" w:rsidR="00BE17FF" w:rsidRDefault="00BE17FF" w:rsidP="00BE17FF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město Litovel, </w:t>
      </w:r>
      <w:r w:rsidR="003E3C29" w:rsidRPr="003E3C29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3E3C29" w:rsidRPr="003E3C29">
        <w:rPr>
          <w:rFonts w:ascii="Arial" w:hAnsi="Arial" w:cs="Arial"/>
          <w:sz w:val="24"/>
          <w:szCs w:val="24"/>
        </w:rPr>
        <w:t>00299138</w:t>
      </w:r>
      <w:r w:rsidR="003E3C29" w:rsidRPr="005C0ADE">
        <w:rPr>
          <w:rFonts w:ascii="Arial" w:hAnsi="Arial" w:cs="Arial"/>
          <w:sz w:val="24"/>
          <w:szCs w:val="24"/>
        </w:rPr>
        <w:t>,</w:t>
      </w:r>
      <w:r w:rsidR="003E3C29">
        <w:rPr>
          <w:rFonts w:cs="Arial"/>
          <w:b/>
          <w:bCs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 obdarovaný</w:t>
      </w:r>
    </w:p>
    <w:p w14:paraId="0832735C" w14:textId="2F87428F" w:rsidR="00BE17FF" w:rsidRDefault="00BE17FF" w:rsidP="00BE17FF">
      <w:pPr>
        <w:widowControl w:val="0"/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>
        <w:rPr>
          <w:rFonts w:ascii="Arial" w:eastAsia="Times New Roman" w:hAnsi="Arial" w:cs="Arial"/>
          <w:sz w:val="24"/>
          <w:szCs w:val="24"/>
          <w:lang w:eastAsia="cs-CZ"/>
        </w:rPr>
        <w:t>bezúplatný převod „</w:t>
      </w:r>
      <w:r>
        <w:rPr>
          <w:rFonts w:ascii="Arial" w:hAnsi="Arial" w:cs="Arial"/>
          <w:sz w:val="24"/>
          <w:szCs w:val="24"/>
        </w:rPr>
        <w:t xml:space="preserve">SO 101.1, 2, 4 Komunikace – úseky A2, A3, C (část SO – silniční betonové obruby, přechodové ostrůvky)“, „SO 102 BUS zálivy – úseky A2, A3, C (část SO – silniční betonové </w:t>
      </w:r>
      <w:r w:rsidRPr="00492465">
        <w:rPr>
          <w:rFonts w:ascii="Arial" w:hAnsi="Arial" w:cs="Arial"/>
          <w:sz w:val="24"/>
          <w:szCs w:val="24"/>
        </w:rPr>
        <w:t>obruby)</w:t>
      </w:r>
      <w:r>
        <w:rPr>
          <w:rFonts w:ascii="Arial" w:hAnsi="Arial" w:cs="Arial"/>
          <w:sz w:val="24"/>
          <w:szCs w:val="24"/>
        </w:rPr>
        <w:t>“</w:t>
      </w:r>
      <w:r w:rsidRPr="00492465">
        <w:rPr>
          <w:rFonts w:ascii="Arial" w:hAnsi="Arial" w:cs="Arial"/>
          <w:sz w:val="24"/>
          <w:szCs w:val="24"/>
        </w:rPr>
        <w:t>, „SO 103 BUS nástupiště – úseky A2, A3, C“, „SO 104 Chodníky – úseky A2, A3, C“</w:t>
      </w:r>
      <w:r>
        <w:rPr>
          <w:rFonts w:ascii="Arial" w:hAnsi="Arial" w:cs="Arial"/>
          <w:sz w:val="24"/>
          <w:szCs w:val="24"/>
        </w:rPr>
        <w:t>,</w:t>
      </w:r>
      <w:r w:rsidRPr="00492465">
        <w:rPr>
          <w:rFonts w:ascii="Arial" w:hAnsi="Arial" w:cs="Arial"/>
          <w:sz w:val="24"/>
          <w:szCs w:val="24"/>
        </w:rPr>
        <w:t xml:space="preserve"> „SO 104.1 Cyklostezka – úseky A2, A3, C“</w:t>
      </w:r>
      <w:r>
        <w:rPr>
          <w:rFonts w:ascii="Arial" w:hAnsi="Arial" w:cs="Arial"/>
          <w:sz w:val="24"/>
          <w:szCs w:val="24"/>
        </w:rPr>
        <w:t xml:space="preserve">, „SO 107 Parkovací stání – úseky A2, A3, C“, „SO 401 Veřejné osvětlení + místní rozhlas – úseky A2, A3, C“, „SO </w:t>
      </w:r>
      <w:r w:rsidRPr="00492465">
        <w:rPr>
          <w:rFonts w:ascii="Arial" w:hAnsi="Arial" w:cs="Arial"/>
          <w:sz w:val="24"/>
          <w:szCs w:val="24"/>
        </w:rPr>
        <w:t>101.1</w:t>
      </w:r>
      <w:r>
        <w:rPr>
          <w:rFonts w:ascii="Arial" w:hAnsi="Arial" w:cs="Arial"/>
          <w:sz w:val="24"/>
          <w:szCs w:val="24"/>
        </w:rPr>
        <w:t xml:space="preserve"> Komunikace – okružní křižovatka (část SO – silniční betonové obruby, přechodové ostrůvky)“, „SO 102 BUS zálivy – okružní křižovatka (část SO – silniční betonové obruby)“, „SO 103 BUS nástupiště – okružní křižovatka“, „104 Chodníky – okružní křižovatka“, „105 Cyklostezka – okružní křižovatka“, „SO 107 Parkovací stání – okružní křižovatka“ a „SO </w:t>
      </w:r>
      <w:r w:rsidR="00516E6E">
        <w:rPr>
          <w:rFonts w:ascii="Arial" w:hAnsi="Arial" w:cs="Arial"/>
          <w:sz w:val="24"/>
          <w:szCs w:val="24"/>
        </w:rPr>
        <w:t>401</w:t>
      </w:r>
      <w:r>
        <w:rPr>
          <w:rFonts w:ascii="Arial" w:hAnsi="Arial" w:cs="Arial"/>
          <w:sz w:val="24"/>
          <w:szCs w:val="24"/>
        </w:rPr>
        <w:t xml:space="preserve"> Veřejné osvětlení + místní rozhlas – okružní křižovatka“</w:t>
      </w:r>
      <w:r>
        <w:rPr>
          <w:rFonts w:ascii="Arial" w:hAnsi="Arial"/>
          <w:bCs/>
          <w:sz w:val="24"/>
        </w:rPr>
        <w:t xml:space="preserve"> vše v k.ú. a obci</w:t>
      </w:r>
      <w:r w:rsidR="00DF4101">
        <w:rPr>
          <w:rFonts w:ascii="Arial" w:hAnsi="Arial"/>
          <w:bCs/>
          <w:sz w:val="24"/>
        </w:rPr>
        <w:t> </w:t>
      </w:r>
      <w:r>
        <w:rPr>
          <w:rFonts w:ascii="Arial" w:hAnsi="Arial"/>
          <w:bCs/>
          <w:sz w:val="24"/>
        </w:rPr>
        <w:t>Litovel vybu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dované v rámci části investiční akce – </w:t>
      </w:r>
      <w:r>
        <w:rPr>
          <w:rFonts w:ascii="Arial" w:hAnsi="Arial" w:cs="Arial"/>
          <w:sz w:val="24"/>
          <w:szCs w:val="24"/>
        </w:rPr>
        <w:t>„II/449 MÚK Unčovice – Litovel, úsek A1, A2, A3, C, okružní křižovatka II/449 a III/4498 Litovel“</w:t>
      </w:r>
    </w:p>
    <w:p w14:paraId="1C06E3B3" w14:textId="6957A02C" w:rsidR="009C7D71" w:rsidRDefault="009C7D71" w:rsidP="00BE17FF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Na realizaci stavebního objektu „SO 101.1 Komunikace – okružní křižovatka“, „SO 102 BUS zálivy – okružní křižovatka“, „SO 401 Veřejné osvětlení + místní rozhlas – okružní křižovatka“, „SO 101.1, 2, 4 Komunikace – úseky A2, A3, C“ a „SO 102 BUS zálivy – úseky A2, A3, C“ byla poskytnuta dotace v rámci Integrovaného regionálního operačního programu (IROP). Olomoucký kraj jako příjemce dotace z IROP je povinen zahrnout do darovací smlouvy následující podmínky.</w:t>
      </w:r>
    </w:p>
    <w:p w14:paraId="12803BF5" w14:textId="77777777" w:rsidR="00BE17FF" w:rsidRDefault="00BE17FF" w:rsidP="00BE17FF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14:paraId="5C88EDEF" w14:textId="77777777" w:rsidR="00BE17FF" w:rsidRDefault="00BE17FF" w:rsidP="00BE17FF">
      <w:pPr>
        <w:pStyle w:val="Odstavecseseznamem"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 bude s majetkem pořízeným z dotace Integrovaného regionálního operačního programu nakládat s péčí řádného hospodáře,</w:t>
      </w:r>
    </w:p>
    <w:p w14:paraId="0C1CD20E" w14:textId="77777777" w:rsidR="00BE17FF" w:rsidRDefault="00BE17FF" w:rsidP="00BE17FF">
      <w:pPr>
        <w:pStyle w:val="Odstavecseseznamem"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 nezatíží tento majetek ani jeho části žádnými věcnými právy třetích osob, včetně zástavního práva,</w:t>
      </w:r>
    </w:p>
    <w:p w14:paraId="48B30999" w14:textId="77777777" w:rsidR="00BE17FF" w:rsidRDefault="00BE17FF" w:rsidP="00BE17FF">
      <w:pPr>
        <w:pStyle w:val="Odstavecseseznamem"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 zajistí minimálně po dobu udržitelnosti projektu, tj. do 31. 12. 2028, aby daný majetek zůstal v naprosto bezvadném stavu,</w:t>
      </w:r>
    </w:p>
    <w:p w14:paraId="17841A5C" w14:textId="77777777" w:rsidR="00BE17FF" w:rsidRDefault="00BE17FF" w:rsidP="00BE17FF">
      <w:pPr>
        <w:pStyle w:val="Odstavecseseznamem"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 případ zjištěných vad stavebního objektu tyto vady město bezodkladně odstraní na vlastní náklady,</w:t>
      </w:r>
    </w:p>
    <w:p w14:paraId="41F404DA" w14:textId="77777777" w:rsidR="00BE17FF" w:rsidRDefault="00BE17FF" w:rsidP="00BE17FF">
      <w:pPr>
        <w:pStyle w:val="Odstavecseseznamem"/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město poskytne dárci (Olomouckému kraji) veškerou součinnost při plnění práv a povinností dárce plynoucích z metodiky 95. výzvy Integrovaného regionálního operačního programu,</w:t>
      </w:r>
    </w:p>
    <w:p w14:paraId="51A8CE21" w14:textId="16BCAB2A" w:rsidR="00DA1FE0" w:rsidRDefault="00BE17FF" w:rsidP="00E90D0D">
      <w:pPr>
        <w:pStyle w:val="Odstavecseseznamem"/>
        <w:widowControl w:val="0"/>
        <w:numPr>
          <w:ilvl w:val="0"/>
          <w:numId w:val="1"/>
        </w:numPr>
        <w:spacing w:after="120" w:line="240" w:lineRule="auto"/>
        <w:jc w:val="both"/>
      </w:pPr>
      <w:r w:rsidRPr="00E90D0D">
        <w:rPr>
          <w:rFonts w:ascii="Arial" w:hAnsi="Arial"/>
          <w:sz w:val="24"/>
        </w:rPr>
        <w:t>město bude minimálně do konce roku 2033 poskytovat požadované informace a dokumentaci související s realizací díla zaměstnancům nebo zmocněncům pověřených orgánů (CRR, MMR ČR, MF ČR, Evropské komise, Evropského účetního dvora, Nejvyššího kontrolního úřadu, příslušného orgánu finanční správy a dalších oprávněných orgánů státní správy) a je povinno vytvořit výše uvedeným osobám podmínky k provedení kontroly vztahující se k realizaci díla a poskytnout jim při provádění kontroly součinnost.</w:t>
      </w:r>
    </w:p>
    <w:sectPr w:rsidR="00DA1FE0" w:rsidSect="00E90D0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1981"/>
    <w:multiLevelType w:val="hybridMultilevel"/>
    <w:tmpl w:val="B7969596"/>
    <w:lvl w:ilvl="0" w:tplc="31A84C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FF"/>
    <w:rsid w:val="001671D6"/>
    <w:rsid w:val="00167F80"/>
    <w:rsid w:val="00205994"/>
    <w:rsid w:val="0033560E"/>
    <w:rsid w:val="003E3C29"/>
    <w:rsid w:val="00516E6E"/>
    <w:rsid w:val="005C0ADE"/>
    <w:rsid w:val="005D0662"/>
    <w:rsid w:val="00855FFC"/>
    <w:rsid w:val="008C04B6"/>
    <w:rsid w:val="008C37A3"/>
    <w:rsid w:val="009C7D71"/>
    <w:rsid w:val="00AF6311"/>
    <w:rsid w:val="00BE17FF"/>
    <w:rsid w:val="00DA1FE0"/>
    <w:rsid w:val="00DF4101"/>
    <w:rsid w:val="00E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EA40"/>
  <w15:chartTrackingRefBased/>
  <w15:docId w15:val="{13393E19-96B0-4924-BBF5-384DAF0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7FF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7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6" ma:contentTypeDescription="Create a new document." ma:contentTypeScope="" ma:versionID="72db7332fbca3e7fa6380cc2f02a4a10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553d4fc3609adffde48c7978e5031ea2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48a0b-966b-41fa-8baa-e0d8ecb4dd93" xsi:nil="true"/>
  </documentManagement>
</p:properties>
</file>

<file path=customXml/itemProps1.xml><?xml version="1.0" encoding="utf-8"?>
<ds:datastoreItem xmlns:ds="http://schemas.openxmlformats.org/officeDocument/2006/customXml" ds:itemID="{CF9B66F5-9B84-42BA-A60B-136D2ED16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9240A-7122-43AD-A237-C800B7E6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3207-159C-4097-B74D-0F6BA87D455E}">
  <ds:schemaRefs>
    <ds:schemaRef ds:uri="http://schemas.microsoft.com/office/2006/metadata/properties"/>
    <ds:schemaRef ds:uri="13048a0b-966b-41fa-8baa-e0d8ecb4dd93"/>
    <ds:schemaRef ds:uri="http://purl.org/dc/terms/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Steklá Miroslava</dc:creator>
  <cp:keywords/>
  <dc:description/>
  <cp:lastModifiedBy>Vrbová Regina</cp:lastModifiedBy>
  <cp:revision>3</cp:revision>
  <dcterms:created xsi:type="dcterms:W3CDTF">2023-12-04T09:21:00Z</dcterms:created>
  <dcterms:modified xsi:type="dcterms:W3CDTF">2023-12-04T09:21:00Z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