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CD2835" w:rsidRDefault="004E1377" w:rsidP="004E1377">
      <w:pPr>
        <w:rPr>
          <w:rFonts w:ascii="Arial" w:hAnsi="Arial" w:cs="Arial"/>
        </w:rPr>
      </w:pPr>
      <w:r w:rsidRPr="00CD28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AD2171" wp14:editId="21E8A97F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CD2835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CD2835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  <w:p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Zápis č. </w:t>
            </w:r>
            <w:r w:rsidR="001C6764" w:rsidRPr="00CD2835">
              <w:rPr>
                <w:rFonts w:cs="Arial"/>
                <w:sz w:val="24"/>
                <w:szCs w:val="24"/>
              </w:rPr>
              <w:t>1</w:t>
            </w:r>
            <w:r w:rsidR="005A1602" w:rsidRPr="00CD2835">
              <w:rPr>
                <w:rFonts w:cs="Arial"/>
                <w:sz w:val="24"/>
                <w:szCs w:val="24"/>
              </w:rPr>
              <w:t>6</w:t>
            </w:r>
          </w:p>
          <w:p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ze zasedání Výboru </w:t>
            </w:r>
            <w:r w:rsidR="005177F8" w:rsidRPr="00CD2835">
              <w:rPr>
                <w:rFonts w:cs="Arial"/>
                <w:sz w:val="24"/>
                <w:szCs w:val="24"/>
              </w:rPr>
              <w:t>pro regionální rozvoj</w:t>
            </w:r>
          </w:p>
          <w:p w:rsidR="004E1377" w:rsidRPr="00CD2835" w:rsidRDefault="004E1377" w:rsidP="00110075">
            <w:pPr>
              <w:pStyle w:val="Vbornadpis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Zastupitelstva Olomouckého kraje</w:t>
            </w:r>
          </w:p>
          <w:p w:rsidR="004E1377" w:rsidRPr="00CD2835" w:rsidRDefault="004E1377" w:rsidP="00110075">
            <w:pPr>
              <w:jc w:val="center"/>
              <w:rPr>
                <w:rFonts w:ascii="Arial" w:hAnsi="Arial" w:cs="Arial"/>
                <w:b/>
                <w:i/>
              </w:rPr>
            </w:pPr>
            <w:r w:rsidRPr="00CD2835">
              <w:rPr>
                <w:rFonts w:ascii="Arial" w:hAnsi="Arial" w:cs="Arial"/>
                <w:b/>
              </w:rPr>
              <w:t>ze dne</w:t>
            </w:r>
            <w:r w:rsidR="001C6764" w:rsidRPr="00CD2835">
              <w:rPr>
                <w:rFonts w:ascii="Arial" w:hAnsi="Arial" w:cs="Arial"/>
                <w:b/>
              </w:rPr>
              <w:t xml:space="preserve"> </w:t>
            </w:r>
            <w:r w:rsidR="005A1602" w:rsidRPr="00CD2835">
              <w:rPr>
                <w:rFonts w:ascii="Arial" w:hAnsi="Arial" w:cs="Arial"/>
                <w:b/>
              </w:rPr>
              <w:t>1. 11</w:t>
            </w:r>
            <w:r w:rsidR="001C6764" w:rsidRPr="00CD2835">
              <w:rPr>
                <w:rFonts w:ascii="Arial" w:hAnsi="Arial" w:cs="Arial"/>
                <w:b/>
              </w:rPr>
              <w:t>. 2023</w:t>
            </w:r>
          </w:p>
          <w:p w:rsidR="005C664E" w:rsidRPr="00CD2835" w:rsidRDefault="005C664E" w:rsidP="00110075">
            <w:pPr>
              <w:pStyle w:val="Vbornadpis"/>
              <w:rPr>
                <w:rFonts w:cs="Arial"/>
                <w:sz w:val="24"/>
                <w:szCs w:val="24"/>
              </w:rPr>
            </w:pPr>
          </w:p>
        </w:tc>
      </w:tr>
      <w:tr w:rsidR="005C664E" w:rsidRPr="00CD2835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CD2835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CD2835" w:rsidRDefault="005C664E" w:rsidP="00110075">
            <w:pPr>
              <w:pStyle w:val="Vborptomni"/>
              <w:rPr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 xml:space="preserve">Nepřítomni: </w:t>
            </w:r>
          </w:p>
        </w:tc>
      </w:tr>
      <w:tr w:rsidR="005C664E" w:rsidRPr="00CD2835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5B" w:rsidRPr="00CD2835" w:rsidRDefault="0089505B" w:rsidP="0089505B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Blišťanová Zdeňka, Mgr. Bc.</w:t>
            </w:r>
          </w:p>
          <w:p w:rsidR="005A1602" w:rsidRPr="00CD2835" w:rsidRDefault="005A1602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Čech Martin</w:t>
            </w:r>
          </w:p>
          <w:p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Hons Martin, Ing.</w:t>
            </w:r>
          </w:p>
          <w:p w:rsidR="00626A6C" w:rsidRPr="00CD2835" w:rsidRDefault="00626A6C" w:rsidP="00626A6C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Jüngling Lenka, Ing.</w:t>
            </w:r>
          </w:p>
          <w:p w:rsidR="0089505B" w:rsidRPr="00CD2835" w:rsidRDefault="0089505B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Kocián Miroslav, Ing.</w:t>
            </w:r>
          </w:p>
          <w:p w:rsidR="00E37A12" w:rsidRPr="00CD2835" w:rsidRDefault="00E37A12" w:rsidP="005C664E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Kouba Petr, Mgr.</w:t>
            </w:r>
          </w:p>
          <w:p w:rsidR="005C664E" w:rsidRPr="00CD2835" w:rsidRDefault="005C664E" w:rsidP="005C664E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Kryl Václav</w:t>
            </w:r>
          </w:p>
          <w:p w:rsidR="00FA0381" w:rsidRPr="00CD2835" w:rsidRDefault="00FA0381" w:rsidP="005C664E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Lebedová Eva, Mgr. Ph.D.</w:t>
            </w:r>
          </w:p>
          <w:p w:rsidR="00626A6C" w:rsidRPr="00CD2835" w:rsidRDefault="0019639C" w:rsidP="00E37A12">
            <w:pPr>
              <w:pStyle w:val="Vborobdr"/>
              <w:tabs>
                <w:tab w:val="center" w:pos="2066"/>
              </w:tabs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Lužný Ivo, Ing.</w:t>
            </w:r>
          </w:p>
          <w:p w:rsidR="0019639C" w:rsidRPr="00CD2835" w:rsidRDefault="00626A6C" w:rsidP="00626A6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Procházka Michal, Ing.</w:t>
            </w:r>
          </w:p>
          <w:p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Rakušan Milan</w:t>
            </w:r>
          </w:p>
          <w:p w:rsidR="00FA0381" w:rsidRPr="00CD2835" w:rsidRDefault="00FA0381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Roubínek Pavel, Mgr.</w:t>
            </w:r>
          </w:p>
          <w:p w:rsidR="00373C1C" w:rsidRPr="00CD2835" w:rsidRDefault="00373C1C" w:rsidP="00373C1C">
            <w:pPr>
              <w:pStyle w:val="Vborobdr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Stawaritschová Jarmila, Bc.</w:t>
            </w:r>
          </w:p>
          <w:p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 xml:space="preserve">Šťastný Roman, Mgr. </w:t>
            </w:r>
          </w:p>
          <w:p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Vlazlo Tomáš</w:t>
            </w:r>
          </w:p>
          <w:p w:rsidR="005C664E" w:rsidRPr="00CD2835" w:rsidRDefault="005C664E" w:rsidP="005C664E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Vogel Jiří, Bc.</w:t>
            </w:r>
          </w:p>
          <w:p w:rsidR="00373C1C" w:rsidRPr="00CD2835" w:rsidRDefault="00373C1C" w:rsidP="00373C1C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Zatloukal Ivo, Ing.</w:t>
            </w:r>
          </w:p>
          <w:p w:rsidR="005C664E" w:rsidRPr="00CD2835" w:rsidRDefault="005C664E" w:rsidP="00E37A12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9D" w:rsidRPr="00CD2835" w:rsidRDefault="000D409D" w:rsidP="000D409D">
            <w:pPr>
              <w:pStyle w:val="Vborobdr"/>
              <w:ind w:left="0" w:firstLine="0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Sršeň Radim, Ing., Ph.D</w:t>
            </w:r>
          </w:p>
          <w:p w:rsidR="005C664E" w:rsidRPr="00CD2835" w:rsidRDefault="005C664E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:rsidR="00E37A12" w:rsidRPr="00CD2835" w:rsidRDefault="00E37A12" w:rsidP="005C664E">
            <w:pPr>
              <w:pStyle w:val="Vborptomni"/>
              <w:rPr>
                <w:b w:val="0"/>
                <w:sz w:val="24"/>
                <w:szCs w:val="24"/>
              </w:rPr>
            </w:pPr>
          </w:p>
          <w:p w:rsidR="005C664E" w:rsidRPr="00CD2835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  <w:r w:rsidRPr="00CD2835">
              <w:rPr>
                <w:sz w:val="24"/>
                <w:szCs w:val="24"/>
              </w:rPr>
              <w:t>Omluveni:</w:t>
            </w:r>
            <w:r w:rsidRPr="00CD2835">
              <w:rPr>
                <w:b w:val="0"/>
                <w:sz w:val="24"/>
                <w:szCs w:val="24"/>
              </w:rPr>
              <w:t xml:space="preserve"> </w:t>
            </w:r>
          </w:p>
          <w:p w:rsidR="005C664E" w:rsidRPr="00CD2835" w:rsidRDefault="00626A6C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 w:rsidRPr="00CD2835">
              <w:rPr>
                <w:rFonts w:cs="Arial"/>
                <w:bCs/>
                <w:sz w:val="24"/>
                <w:szCs w:val="24"/>
              </w:rPr>
              <w:t>Vitonský Daniel</w:t>
            </w:r>
          </w:p>
          <w:p w:rsidR="00626A6C" w:rsidRPr="00CD2835" w:rsidRDefault="00626A6C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 w:rsidRPr="00CD2835">
              <w:rPr>
                <w:rFonts w:cs="Arial"/>
                <w:bCs/>
                <w:sz w:val="24"/>
                <w:szCs w:val="24"/>
              </w:rPr>
              <w:t>Dosoudil Radek, Ing.</w:t>
            </w:r>
          </w:p>
          <w:p w:rsidR="00626A6C" w:rsidRPr="00CD2835" w:rsidRDefault="00626A6C" w:rsidP="00626A6C">
            <w:pPr>
              <w:pStyle w:val="Vborobdr"/>
              <w:rPr>
                <w:rFonts w:cs="Arial"/>
                <w:bCs/>
                <w:sz w:val="24"/>
                <w:szCs w:val="24"/>
              </w:rPr>
            </w:pPr>
            <w:r w:rsidRPr="00CD2835">
              <w:rPr>
                <w:rFonts w:cs="Arial"/>
                <w:bCs/>
                <w:sz w:val="24"/>
                <w:szCs w:val="24"/>
              </w:rPr>
              <w:t>Kopecký František, Mgr.</w:t>
            </w:r>
          </w:p>
        </w:tc>
      </w:tr>
      <w:tr w:rsidR="005C664E" w:rsidRPr="00CD2835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CD2835" w:rsidRDefault="005C664E" w:rsidP="00110075">
            <w:pPr>
              <w:pStyle w:val="Vborptomni"/>
              <w:rPr>
                <w:b w:val="0"/>
                <w:sz w:val="24"/>
                <w:szCs w:val="24"/>
              </w:rPr>
            </w:pPr>
          </w:p>
        </w:tc>
      </w:tr>
      <w:tr w:rsidR="005C664E" w:rsidRPr="00CD2835" w:rsidTr="00626A6C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EBA" w:rsidRPr="00CD2835" w:rsidRDefault="00917EBA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</w:p>
          <w:p w:rsidR="005C664E" w:rsidRPr="00CD2835" w:rsidRDefault="005C664E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Tajemník:</w:t>
            </w:r>
            <w:r w:rsidR="00917EBA" w:rsidRPr="00CD283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CD2835" w:rsidRDefault="005C664E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</w:p>
        </w:tc>
      </w:tr>
      <w:tr w:rsidR="005C664E" w:rsidRPr="00CD2835" w:rsidTr="001C6764">
        <w:tblPrEx>
          <w:tblLook w:val="04A0" w:firstRow="1" w:lastRow="0" w:firstColumn="1" w:lastColumn="0" w:noHBand="0" w:noVBand="1"/>
        </w:tblPrEx>
        <w:trPr>
          <w:gridAfter w:val="1"/>
          <w:wAfter w:w="609" w:type="dxa"/>
          <w:trHeight w:val="70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CD2835" w:rsidRDefault="005C664E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CD2835" w:rsidRDefault="005C664E" w:rsidP="00110075">
            <w:pPr>
              <w:pStyle w:val="Vborptomnitext"/>
              <w:rPr>
                <w:rFonts w:cs="Arial"/>
                <w:b/>
                <w:sz w:val="24"/>
                <w:szCs w:val="24"/>
              </w:rPr>
            </w:pPr>
            <w:r w:rsidRPr="00CD2835">
              <w:rPr>
                <w:rFonts w:cs="Arial"/>
                <w:b/>
                <w:sz w:val="24"/>
                <w:szCs w:val="24"/>
              </w:rPr>
              <w:t>Garant za Radu Olomouckého kraje:</w:t>
            </w:r>
          </w:p>
          <w:p w:rsidR="005C664E" w:rsidRPr="00CD2835" w:rsidRDefault="005D51DB" w:rsidP="00110075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CD2835">
              <w:rPr>
                <w:rFonts w:cs="Arial"/>
                <w:sz w:val="24"/>
                <w:szCs w:val="24"/>
              </w:rPr>
              <w:t>Šafařík Jan, Ing., MBA</w:t>
            </w:r>
          </w:p>
        </w:tc>
      </w:tr>
      <w:tr w:rsidR="00975D37" w:rsidRPr="00CD2835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:rsidR="00376EF0" w:rsidRPr="00CD2835" w:rsidRDefault="00376EF0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36" w:type="dxa"/>
            <w:gridSpan w:val="2"/>
          </w:tcPr>
          <w:p w:rsidR="00975D37" w:rsidRPr="00CD2835" w:rsidRDefault="00975D37">
            <w:pPr>
              <w:pStyle w:val="Vborptomni"/>
              <w:rPr>
                <w:sz w:val="24"/>
                <w:szCs w:val="24"/>
                <w:highlight w:val="yellow"/>
              </w:rPr>
            </w:pPr>
          </w:p>
        </w:tc>
      </w:tr>
    </w:tbl>
    <w:p w:rsidR="00A5136B" w:rsidRPr="00CD2835" w:rsidRDefault="00A5136B">
      <w:pPr>
        <w:pStyle w:val="slo1text"/>
        <w:rPr>
          <w:rFonts w:cs="Arial"/>
          <w:b/>
          <w:szCs w:val="24"/>
        </w:rPr>
      </w:pPr>
    </w:p>
    <w:p w:rsidR="005D51DB" w:rsidRPr="00CD2835" w:rsidRDefault="005D51DB">
      <w:pPr>
        <w:pStyle w:val="slo1text"/>
        <w:rPr>
          <w:rFonts w:cs="Arial"/>
          <w:b/>
          <w:szCs w:val="24"/>
        </w:rPr>
      </w:pPr>
    </w:p>
    <w:p w:rsidR="005D51DB" w:rsidRPr="00CD2835" w:rsidRDefault="005D51DB">
      <w:pPr>
        <w:pStyle w:val="slo1text"/>
        <w:rPr>
          <w:rFonts w:cs="Arial"/>
          <w:b/>
          <w:szCs w:val="24"/>
        </w:rPr>
      </w:pPr>
    </w:p>
    <w:p w:rsidR="005A1602" w:rsidRPr="00CD2835" w:rsidRDefault="005A1602">
      <w:pPr>
        <w:pStyle w:val="slo1text"/>
        <w:rPr>
          <w:rFonts w:cs="Arial"/>
          <w:b/>
          <w:szCs w:val="24"/>
        </w:rPr>
      </w:pPr>
    </w:p>
    <w:p w:rsidR="005D51DB" w:rsidRPr="00CD2835" w:rsidRDefault="005D51DB">
      <w:pPr>
        <w:pStyle w:val="slo1text"/>
        <w:rPr>
          <w:rFonts w:cs="Arial"/>
          <w:b/>
          <w:szCs w:val="24"/>
        </w:rPr>
      </w:pPr>
    </w:p>
    <w:p w:rsidR="00975D37" w:rsidRPr="00CD2835" w:rsidRDefault="005C664E">
      <w:pPr>
        <w:pStyle w:val="slo1text"/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Program:</w:t>
      </w:r>
    </w:p>
    <w:p w:rsidR="00975D37" w:rsidRPr="00CD2835" w:rsidRDefault="005C664E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Kontrola usnesení z minulého zasedání, schválení programu zasedání</w:t>
      </w:r>
    </w:p>
    <w:p w:rsidR="005C664E" w:rsidRPr="00CD2835" w:rsidRDefault="005C664E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Informace z jednání orgánů kraje</w:t>
      </w:r>
    </w:p>
    <w:p w:rsidR="005C664E" w:rsidRPr="00CD2835" w:rsidRDefault="001C6764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Informace k vyhlašovaným dotačním programům z rozpočtu Olomouckého kraje na rok 2024</w:t>
      </w:r>
    </w:p>
    <w:p w:rsidR="005C664E" w:rsidRPr="00CD2835" w:rsidRDefault="005A1602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Projekty s dotací EU v oblasti regionálního rozvoje</w:t>
      </w:r>
    </w:p>
    <w:p w:rsidR="005C664E" w:rsidRPr="00CD2835" w:rsidRDefault="005A1602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Iniciace témat do plánu jednání na rok 2024</w:t>
      </w:r>
    </w:p>
    <w:p w:rsidR="005C664E" w:rsidRPr="00CD2835" w:rsidRDefault="005C664E" w:rsidP="005C664E">
      <w:pPr>
        <w:pStyle w:val="slo1text"/>
        <w:numPr>
          <w:ilvl w:val="0"/>
          <w:numId w:val="27"/>
        </w:numPr>
        <w:rPr>
          <w:rFonts w:cs="Arial"/>
          <w:b/>
          <w:szCs w:val="24"/>
        </w:rPr>
      </w:pPr>
      <w:r w:rsidRPr="00CD2835">
        <w:rPr>
          <w:rFonts w:cs="Arial"/>
          <w:szCs w:val="24"/>
        </w:rPr>
        <w:t>Různé</w:t>
      </w:r>
    </w:p>
    <w:p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szCs w:val="24"/>
        </w:rPr>
      </w:pPr>
    </w:p>
    <w:p w:rsidR="005C664E" w:rsidRPr="00CD2835" w:rsidRDefault="005C664E" w:rsidP="005C664E">
      <w:pPr>
        <w:pStyle w:val="slo1text"/>
        <w:tabs>
          <w:tab w:val="clear" w:pos="567"/>
        </w:tabs>
        <w:rPr>
          <w:rFonts w:cs="Arial"/>
          <w:b/>
          <w:szCs w:val="24"/>
          <w:u w:val="single"/>
        </w:rPr>
      </w:pPr>
      <w:r w:rsidRPr="00CD2835">
        <w:rPr>
          <w:rFonts w:cs="Arial"/>
          <w:b/>
          <w:szCs w:val="24"/>
          <w:u w:val="single"/>
        </w:rPr>
        <w:t>Zápis:</w:t>
      </w:r>
    </w:p>
    <w:p w:rsidR="005C664E" w:rsidRPr="00CD2835" w:rsidRDefault="005C664E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Kontrola usnesení z minulého zasedání, schválení programu zasedání</w:t>
      </w:r>
    </w:p>
    <w:p w:rsidR="00D77982" w:rsidRPr="00CD2835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Zasedání zahájil předseda Výboru Mgr. Roman Šťastný, přivítal členy Výboru. Po přivítání členů</w:t>
      </w:r>
      <w:r w:rsidR="00626A6C" w:rsidRPr="00CD2835">
        <w:rPr>
          <w:rFonts w:cs="Arial"/>
          <w:szCs w:val="24"/>
        </w:rPr>
        <w:t xml:space="preserve"> </w:t>
      </w:r>
      <w:r w:rsidRPr="00CD2835">
        <w:rPr>
          <w:rFonts w:cs="Arial"/>
          <w:szCs w:val="24"/>
        </w:rPr>
        <w:t xml:space="preserve">kostatoval, že Výbor je s ohledem na přítomnost nadpoloviční většiny členů usnášeníschopný. Dále uvedl, že členům byla předem zaslána pozvánka s programem zasedání a podkladové materiály. Následně vyzval členy k případným připomínkám či doplnění programu. </w:t>
      </w:r>
      <w:r w:rsidR="00FB5B15" w:rsidRPr="00CD2835">
        <w:rPr>
          <w:rFonts w:cs="Arial"/>
          <w:szCs w:val="24"/>
        </w:rPr>
        <w:t>V programu b</w:t>
      </w:r>
      <w:r w:rsidR="00626A6C" w:rsidRPr="00CD2835">
        <w:rPr>
          <w:rFonts w:cs="Arial"/>
          <w:szCs w:val="24"/>
        </w:rPr>
        <w:t xml:space="preserve">yl doplněn bod č. </w:t>
      </w:r>
      <w:r w:rsidR="00FB5B15" w:rsidRPr="00CD2835">
        <w:rPr>
          <w:rFonts w:cs="Arial"/>
          <w:szCs w:val="24"/>
        </w:rPr>
        <w:t>6 Zvýšení členského příspěvku Euroregion Praděd. Byl schválen upravený program jednání: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Kontrola usnesení z minulého zasedání, schválení programu zasedání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Informace z jednání orgánů kraje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Informace k vyhlašovaným dotačním programům z rozpočtu Olomouckého kraje na rok 2024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Projekty s dotací EU v oblasti regionálního rozvoje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Iniciace témat do plánu jednání na rok 2024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Zvýšení členského příspěvku Euroregionu Praděd</w:t>
      </w:r>
    </w:p>
    <w:p w:rsidR="00FB5B15" w:rsidRPr="00CD2835" w:rsidRDefault="00FB5B15" w:rsidP="00FB5B15">
      <w:pPr>
        <w:pStyle w:val="slo1text"/>
        <w:numPr>
          <w:ilvl w:val="0"/>
          <w:numId w:val="38"/>
        </w:numPr>
        <w:rPr>
          <w:rFonts w:cs="Arial"/>
          <w:szCs w:val="24"/>
        </w:rPr>
      </w:pPr>
      <w:r w:rsidRPr="00CD2835">
        <w:rPr>
          <w:rFonts w:cs="Arial"/>
          <w:szCs w:val="24"/>
        </w:rPr>
        <w:t>Různé</w:t>
      </w:r>
    </w:p>
    <w:p w:rsidR="00D77982" w:rsidRPr="00CD2835" w:rsidRDefault="00D77982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Resortní náměstek Ing. Š</w:t>
      </w:r>
      <w:r w:rsidR="00175449" w:rsidRPr="00CD2835">
        <w:rPr>
          <w:rFonts w:cs="Arial"/>
          <w:szCs w:val="24"/>
        </w:rPr>
        <w:t>a</w:t>
      </w:r>
      <w:r w:rsidRPr="00CD2835">
        <w:rPr>
          <w:rFonts w:cs="Arial"/>
          <w:szCs w:val="24"/>
        </w:rPr>
        <w:t>fařík, MBA také přivítal členy Výboru.</w:t>
      </w:r>
    </w:p>
    <w:p w:rsidR="00DA6F62" w:rsidRDefault="005A1602" w:rsidP="001C676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DA6F62">
        <w:rPr>
          <w:rFonts w:cs="Arial"/>
          <w:szCs w:val="24"/>
        </w:rPr>
        <w:t xml:space="preserve">Na zasedání Výboru dne </w:t>
      </w:r>
      <w:r w:rsidR="00DA6F62" w:rsidRPr="00DA6F62">
        <w:rPr>
          <w:rFonts w:cs="Arial"/>
          <w:szCs w:val="24"/>
        </w:rPr>
        <w:t>6. 9.</w:t>
      </w:r>
      <w:r w:rsidRPr="00DA6F62">
        <w:rPr>
          <w:rFonts w:cs="Arial"/>
          <w:szCs w:val="24"/>
        </w:rPr>
        <w:t xml:space="preserve"> </w:t>
      </w:r>
      <w:r w:rsidR="00D77982" w:rsidRPr="00DA6F62">
        <w:rPr>
          <w:rFonts w:cs="Arial"/>
          <w:szCs w:val="24"/>
        </w:rPr>
        <w:t>2023 bylo přijato následující usnesení, ke kterým byly podány informace o plnění:</w:t>
      </w:r>
      <w:r w:rsidR="00CD2835">
        <w:rPr>
          <w:rFonts w:cs="Arial"/>
          <w:szCs w:val="24"/>
        </w:rPr>
        <w:t xml:space="preserve"> </w:t>
      </w:r>
    </w:p>
    <w:p w:rsidR="00D77982" w:rsidRPr="00CD2835" w:rsidRDefault="00DA6F62" w:rsidP="00DA6F62">
      <w:pPr>
        <w:pStyle w:val="slo1text"/>
        <w:numPr>
          <w:ilvl w:val="0"/>
          <w:numId w:val="4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</w:t>
      </w:r>
      <w:r w:rsidR="00470524" w:rsidRPr="00CD2835">
        <w:rPr>
          <w:rFonts w:cs="Arial"/>
          <w:b/>
          <w:szCs w:val="24"/>
        </w:rPr>
        <w:t>UVR/1</w:t>
      </w:r>
      <w:r w:rsidR="002E4EAD" w:rsidRPr="00CD2835">
        <w:rPr>
          <w:rFonts w:cs="Arial"/>
          <w:b/>
          <w:szCs w:val="24"/>
        </w:rPr>
        <w:t>5</w:t>
      </w:r>
      <w:r w:rsidR="00470524" w:rsidRPr="00CD2835">
        <w:rPr>
          <w:rFonts w:cs="Arial"/>
          <w:b/>
          <w:szCs w:val="24"/>
        </w:rPr>
        <w:t>/</w:t>
      </w:r>
      <w:r w:rsidR="002E4EAD" w:rsidRPr="00CD2835">
        <w:rPr>
          <w:rFonts w:cs="Arial"/>
          <w:b/>
          <w:szCs w:val="24"/>
        </w:rPr>
        <w:t>3</w:t>
      </w:r>
      <w:r w:rsidR="00470524" w:rsidRPr="00CD2835">
        <w:rPr>
          <w:rFonts w:cs="Arial"/>
          <w:b/>
          <w:szCs w:val="24"/>
        </w:rPr>
        <w:t>/2023 Individuální dotace v oblasti strategického rozvoje</w:t>
      </w:r>
    </w:p>
    <w:p w:rsidR="002E4EAD" w:rsidRPr="00CD2835" w:rsidRDefault="002E4EAD" w:rsidP="002E4EAD">
      <w:pPr>
        <w:spacing w:before="80" w:after="120"/>
        <w:ind w:left="1080"/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>informace o žádostech předložených jako mimořádné dotace z rozpočtu Olomouckého kraje na základě žádosti o poskytnutí individuální dotace z rozpočtu Olomouckého kraje</w:t>
      </w:r>
    </w:p>
    <w:p w:rsidR="002E4EAD" w:rsidRPr="00CD2835" w:rsidRDefault="002E4EAD" w:rsidP="002E4EAD">
      <w:pPr>
        <w:spacing w:before="80" w:after="120"/>
        <w:ind w:left="1080"/>
        <w:jc w:val="both"/>
        <w:rPr>
          <w:rFonts w:ascii="Arial" w:hAnsi="Arial" w:cs="Arial"/>
        </w:rPr>
      </w:pPr>
      <w:r w:rsidRPr="00CD2835">
        <w:rPr>
          <w:rFonts w:ascii="Arial" w:hAnsi="Arial" w:cs="Arial"/>
          <w:b/>
        </w:rPr>
        <w:t xml:space="preserve">doporučuje </w:t>
      </w:r>
      <w:r w:rsidRPr="00CD2835">
        <w:rPr>
          <w:rFonts w:ascii="Arial" w:hAnsi="Arial" w:cs="Arial"/>
        </w:rPr>
        <w:t>Zastupitelstvu Olomouckého kraje nevyhovět žádosti o poskytnutí individuální dotace z rozpočtu Olomouckého kraje žadateli Nextbike Czech Republic s. r. o., IČO 07389108, Libušina 101, 779 00 Olomouc, na podporu bikesharingu ve výši 1 400 000 Kč a obci Čelechovice, IČO: 00636185, Čelechovice 38, 751 03 na „zrychlení internetového připojení“ ve výši 200 000 Kč</w:t>
      </w:r>
    </w:p>
    <w:p w:rsidR="00917EBA" w:rsidRPr="00CD2835" w:rsidRDefault="00917EBA" w:rsidP="002E4EAD">
      <w:pPr>
        <w:spacing w:before="80" w:after="120"/>
        <w:ind w:left="1080"/>
        <w:jc w:val="both"/>
        <w:rPr>
          <w:rFonts w:ascii="Arial" w:hAnsi="Arial" w:cs="Arial"/>
        </w:rPr>
      </w:pPr>
    </w:p>
    <w:p w:rsidR="00917EBA" w:rsidRPr="00CD2835" w:rsidRDefault="00917EBA" w:rsidP="002E4EAD">
      <w:pPr>
        <w:spacing w:before="80" w:after="120"/>
        <w:ind w:left="1080"/>
        <w:jc w:val="both"/>
        <w:rPr>
          <w:rFonts w:ascii="Arial" w:hAnsi="Arial" w:cs="Arial"/>
        </w:rPr>
      </w:pPr>
    </w:p>
    <w:p w:rsidR="002E4EAD" w:rsidRPr="00CD2835" w:rsidRDefault="002E4EAD" w:rsidP="002E4EAD">
      <w:pPr>
        <w:pStyle w:val="Odstavecseseznamem"/>
        <w:spacing w:before="80" w:after="120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CD2835">
        <w:rPr>
          <w:rFonts w:ascii="Arial" w:hAnsi="Arial" w:cs="Arial"/>
          <w:b/>
          <w:sz w:val="24"/>
          <w:szCs w:val="24"/>
        </w:rPr>
        <w:t>Výsledek:</w:t>
      </w:r>
    </w:p>
    <w:p w:rsidR="002E4EAD" w:rsidRPr="00CD2835" w:rsidRDefault="002E4EAD" w:rsidP="002E4EAD">
      <w:pPr>
        <w:ind w:left="1416"/>
        <w:jc w:val="both"/>
        <w:rPr>
          <w:rFonts w:ascii="Arial" w:hAnsi="Arial" w:cs="Arial"/>
          <w:b/>
        </w:rPr>
      </w:pPr>
      <w:r w:rsidRPr="00CD2835">
        <w:rPr>
          <w:rFonts w:ascii="Arial" w:hAnsi="Arial" w:cs="Arial"/>
          <w:b/>
        </w:rPr>
        <w:t xml:space="preserve">Zastupitelstvo Olomouckého kraje dne 18. 9. 2023 usnesením č. UZ/16/77/2023: </w:t>
      </w:r>
    </w:p>
    <w:p w:rsidR="002E4EAD" w:rsidRPr="00CD2835" w:rsidRDefault="002E4EAD" w:rsidP="002E4EAD">
      <w:pPr>
        <w:ind w:left="1416"/>
        <w:jc w:val="both"/>
        <w:rPr>
          <w:rFonts w:ascii="Arial" w:hAnsi="Arial" w:cs="Arial"/>
        </w:rPr>
      </w:pPr>
      <w:r w:rsidRPr="00CD2835">
        <w:rPr>
          <w:rFonts w:ascii="Arial" w:hAnsi="Arial" w:cs="Arial"/>
          <w:b/>
        </w:rPr>
        <w:t>Rozhodlo o poskytnutí individuální dotace</w:t>
      </w:r>
      <w:r w:rsidRPr="00CD2835">
        <w:rPr>
          <w:rFonts w:ascii="Arial" w:hAnsi="Arial" w:cs="Arial"/>
        </w:rPr>
        <w:t xml:space="preserve"> z rozpočtu Olomouckého kraje žadateli TJ Sokol Hustopeče nad Bečvou,z.s., IČO: 61985473, Školní 153, 753 66 Hustopeče nad Bečvou, na „rekonstrukci sokolovny TJ Sokol Hustopeče nad Bečvou“ ve výši 500 000 Kč.</w:t>
      </w:r>
    </w:p>
    <w:p w:rsidR="002E4EAD" w:rsidRPr="00CD2835" w:rsidRDefault="002E4EAD" w:rsidP="002E4EAD">
      <w:pPr>
        <w:jc w:val="both"/>
        <w:rPr>
          <w:rFonts w:ascii="Arial" w:hAnsi="Arial" w:cs="Arial"/>
        </w:rPr>
      </w:pPr>
    </w:p>
    <w:p w:rsidR="002E4EAD" w:rsidRPr="00CD2835" w:rsidRDefault="002E4EAD" w:rsidP="002E4EAD">
      <w:pPr>
        <w:ind w:left="1416"/>
        <w:jc w:val="both"/>
        <w:rPr>
          <w:rFonts w:ascii="Arial" w:hAnsi="Arial" w:cs="Arial"/>
        </w:rPr>
      </w:pPr>
      <w:r w:rsidRPr="00CD2835">
        <w:rPr>
          <w:rFonts w:ascii="Arial" w:hAnsi="Arial" w:cs="Arial"/>
          <w:b/>
        </w:rPr>
        <w:t>Nevyhovuje žádostem o poskytnutí dotace</w:t>
      </w:r>
      <w:r w:rsidRPr="00CD2835">
        <w:rPr>
          <w:rFonts w:ascii="Arial" w:hAnsi="Arial" w:cs="Arial"/>
        </w:rPr>
        <w:t xml:space="preserve"> z rozpočtu Olomouckého kraje žadateli nextbike Czech Republic s.r.o., IČO: 07389108, Libušina 101, 779 00 Olomouc, na podporu bikesharingu ve výši 1 400 000 Kč a obci Čelechovice, IČO: 00636185, Čelechovice 38, 751 03, na „zrychlení internetového připojení“ ve výši 200 000 Kč.</w:t>
      </w:r>
    </w:p>
    <w:p w:rsidR="002E4EAD" w:rsidRPr="00CD2835" w:rsidRDefault="002E4EAD" w:rsidP="002E4EAD">
      <w:pPr>
        <w:jc w:val="both"/>
        <w:rPr>
          <w:rFonts w:ascii="Arial" w:hAnsi="Arial" w:cs="Arial"/>
        </w:rPr>
      </w:pPr>
    </w:p>
    <w:p w:rsidR="002E4EAD" w:rsidRPr="00CD2835" w:rsidRDefault="002E4EAD" w:rsidP="002E4EAD">
      <w:pPr>
        <w:ind w:left="1416"/>
        <w:jc w:val="both"/>
        <w:rPr>
          <w:rFonts w:ascii="Arial" w:hAnsi="Arial" w:cs="Arial"/>
        </w:rPr>
      </w:pPr>
      <w:r w:rsidRPr="00CD2835">
        <w:rPr>
          <w:rFonts w:ascii="Arial" w:hAnsi="Arial" w:cs="Arial"/>
          <w:b/>
        </w:rPr>
        <w:t>Rozhodlo o uzavření veřejnoprávní smlouvy o poskytnutí dotace</w:t>
      </w:r>
      <w:r w:rsidRPr="00CD2835">
        <w:rPr>
          <w:rFonts w:ascii="Arial" w:hAnsi="Arial" w:cs="Arial"/>
        </w:rPr>
        <w:t xml:space="preserve"> z rozpočtu Olomouckého kraje dle bodu 1 usnesení, ve znění dle vzorových veřejnoprávních smluv schválených na zasedání Zastupitelstva Olomouckého kraj dne 12. 12. 2022 usnesením č. UZ/12/19/2022.</w:t>
      </w:r>
    </w:p>
    <w:p w:rsidR="007456B9" w:rsidRPr="00CD2835" w:rsidRDefault="007456B9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:rsidR="001C6764" w:rsidRPr="00CD2835" w:rsidRDefault="001C6764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Informace z jednání orgánů kraje</w:t>
      </w:r>
    </w:p>
    <w:p w:rsidR="00FB5B15" w:rsidRPr="00CD2835" w:rsidRDefault="00E60597" w:rsidP="00E60597">
      <w:pPr>
        <w:spacing w:after="120"/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 xml:space="preserve">Ing. Novotná představila materiály projednané Radou Olomouckého kraje a Zastupitelstvem Olomouckého kraje, které byly předloženy Odborem strategického rozvoje kraje KÚOK, a to za období od zasedání Výboru </w:t>
      </w:r>
      <w:r w:rsidR="002E4EAD" w:rsidRPr="00CD2835">
        <w:rPr>
          <w:rFonts w:ascii="Arial" w:hAnsi="Arial" w:cs="Arial"/>
        </w:rPr>
        <w:t>od 6. 9. 2023 do 1. 11. 2023.</w:t>
      </w:r>
    </w:p>
    <w:p w:rsidR="00E60597" w:rsidRPr="00CD2835" w:rsidRDefault="00011F65" w:rsidP="00E60597">
      <w:pPr>
        <w:spacing w:after="120"/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>Přehled materiálů OSR předkládaných do ROK a ZOK</w:t>
      </w:r>
      <w:r w:rsidR="00E60597" w:rsidRPr="00CD2835">
        <w:rPr>
          <w:rFonts w:ascii="Arial" w:hAnsi="Arial" w:cs="Arial"/>
        </w:rPr>
        <w:t xml:space="preserve"> je přílohou č. 1 zápisu.</w:t>
      </w:r>
    </w:p>
    <w:p w:rsidR="001C6764" w:rsidRPr="00CD2835" w:rsidRDefault="001C6764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:rsidR="007456B9" w:rsidRPr="00C41E9A" w:rsidRDefault="001C6764" w:rsidP="00C41E9A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41E9A">
        <w:rPr>
          <w:rFonts w:cs="Arial"/>
          <w:b/>
          <w:szCs w:val="24"/>
        </w:rPr>
        <w:t xml:space="preserve">Informace k vyhlašovaným dotačním programům z rozpočtu Olomouckého kraje </w:t>
      </w:r>
      <w:r w:rsidR="00C41E9A">
        <w:rPr>
          <w:rFonts w:cs="Arial"/>
          <w:b/>
          <w:szCs w:val="24"/>
        </w:rPr>
        <w:t xml:space="preserve">   </w:t>
      </w:r>
      <w:r w:rsidRPr="00C41E9A">
        <w:rPr>
          <w:rFonts w:cs="Arial"/>
          <w:b/>
          <w:szCs w:val="24"/>
        </w:rPr>
        <w:t>na rok 2024</w:t>
      </w:r>
      <w:r w:rsidR="00CD2835" w:rsidRPr="00C41E9A">
        <w:rPr>
          <w:rFonts w:cs="Arial"/>
          <w:b/>
          <w:szCs w:val="24"/>
        </w:rPr>
        <w:t xml:space="preserve"> </w:t>
      </w:r>
    </w:p>
    <w:p w:rsidR="00A238BA" w:rsidRDefault="00A238BA" w:rsidP="00A238BA">
      <w:pPr>
        <w:ind w:left="360"/>
        <w:jc w:val="both"/>
        <w:rPr>
          <w:rFonts w:ascii="Arial" w:hAnsi="Arial" w:cs="Arial"/>
        </w:rPr>
      </w:pPr>
      <w:r w:rsidRPr="00255696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Marta </w:t>
      </w:r>
      <w:r w:rsidRPr="00255696">
        <w:rPr>
          <w:rFonts w:ascii="Arial" w:hAnsi="Arial" w:cs="Arial"/>
        </w:rPr>
        <w:t>Novotná informovala, že v rámci tohoto bodu programu byl členům připraven přehled v</w:t>
      </w:r>
      <w:r>
        <w:rPr>
          <w:rFonts w:ascii="Arial" w:hAnsi="Arial" w:cs="Arial"/>
        </w:rPr>
        <w:t>šech</w:t>
      </w:r>
      <w:r w:rsidRPr="00255696">
        <w:rPr>
          <w:rFonts w:ascii="Arial" w:hAnsi="Arial" w:cs="Arial"/>
        </w:rPr>
        <w:t xml:space="preserve"> dotačních programů Olomouckého kraje, které </w:t>
      </w:r>
      <w:r>
        <w:rPr>
          <w:rFonts w:ascii="Arial" w:hAnsi="Arial" w:cs="Arial"/>
        </w:rPr>
        <w:t>budou krajskou samosprávou vyhlášeny</w:t>
      </w:r>
      <w:r w:rsidRPr="00255696">
        <w:rPr>
          <w:rFonts w:ascii="Arial" w:hAnsi="Arial" w:cs="Arial"/>
        </w:rPr>
        <w:t xml:space="preserve"> v příštím roce. Jedná se o materiál, který byl projednáván na Zastupitelstvu Olomouckého kraje dne 18. 9. 2023. </w:t>
      </w:r>
      <w:r w:rsidRPr="00D22117">
        <w:rPr>
          <w:rFonts w:ascii="Arial" w:hAnsi="Arial" w:cs="Arial"/>
        </w:rPr>
        <w:t>Seznam</w:t>
      </w:r>
      <w:r>
        <w:rPr>
          <w:rFonts w:ascii="Arial" w:hAnsi="Arial" w:cs="Arial"/>
        </w:rPr>
        <w:t xml:space="preserve"> dotačních programů z rozpočtu Olomouckého kraje na rok</w:t>
      </w:r>
      <w:r w:rsidRPr="00D22117">
        <w:rPr>
          <w:rFonts w:ascii="Arial" w:hAnsi="Arial" w:cs="Arial"/>
        </w:rPr>
        <w:t xml:space="preserve"> 2024 byl sestaven politickými garanty jednotlivých </w:t>
      </w:r>
      <w:r>
        <w:rPr>
          <w:rFonts w:ascii="Arial" w:hAnsi="Arial" w:cs="Arial"/>
        </w:rPr>
        <w:t xml:space="preserve">dotačních </w:t>
      </w:r>
      <w:r w:rsidRPr="00D22117">
        <w:rPr>
          <w:rFonts w:ascii="Arial" w:hAnsi="Arial" w:cs="Arial"/>
        </w:rPr>
        <w:t>oblastí</w:t>
      </w:r>
      <w:r>
        <w:rPr>
          <w:rFonts w:ascii="Arial" w:hAnsi="Arial" w:cs="Arial"/>
        </w:rPr>
        <w:t xml:space="preserve"> a </w:t>
      </w:r>
      <w:r w:rsidRPr="00D22117">
        <w:rPr>
          <w:rFonts w:ascii="Arial" w:hAnsi="Arial" w:cs="Arial"/>
        </w:rPr>
        <w:t xml:space="preserve">byl projednán </w:t>
      </w:r>
      <w:r>
        <w:rPr>
          <w:rFonts w:ascii="Arial" w:hAnsi="Arial" w:cs="Arial"/>
        </w:rPr>
        <w:t xml:space="preserve">a doporučen ZOK schválit </w:t>
      </w:r>
      <w:r w:rsidRPr="00D22117">
        <w:rPr>
          <w:rFonts w:ascii="Arial" w:hAnsi="Arial" w:cs="Arial"/>
        </w:rPr>
        <w:t>na </w:t>
      </w:r>
      <w:r>
        <w:rPr>
          <w:rFonts w:ascii="Arial" w:hAnsi="Arial" w:cs="Arial"/>
        </w:rPr>
        <w:t xml:space="preserve">schůzi </w:t>
      </w:r>
      <w:r w:rsidRPr="00D22117">
        <w:rPr>
          <w:rFonts w:ascii="Arial" w:hAnsi="Arial" w:cs="Arial"/>
        </w:rPr>
        <w:t>ROK</w:t>
      </w:r>
      <w:r>
        <w:rPr>
          <w:rFonts w:ascii="Arial" w:hAnsi="Arial" w:cs="Arial"/>
        </w:rPr>
        <w:t xml:space="preserve"> dne 28. 8. 2023. </w:t>
      </w:r>
      <w:r w:rsidRPr="00D22117">
        <w:rPr>
          <w:rFonts w:ascii="Arial" w:hAnsi="Arial" w:cs="Arial"/>
        </w:rPr>
        <w:t>Specifikace podmínek na dan</w:t>
      </w:r>
      <w:r>
        <w:rPr>
          <w:rFonts w:ascii="Arial" w:hAnsi="Arial" w:cs="Arial"/>
        </w:rPr>
        <w:t>é dotační programy se aktuálně rozpracovává do Pravidel, které budou schvalovány ve většině případů již v prosincovém ZOK a následně budou programy vyhlášeny</w:t>
      </w:r>
      <w:r w:rsidRPr="00D22117">
        <w:rPr>
          <w:rFonts w:ascii="Arial" w:hAnsi="Arial" w:cs="Arial"/>
        </w:rPr>
        <w:t>.</w:t>
      </w:r>
    </w:p>
    <w:p w:rsidR="00A238BA" w:rsidRDefault="00A238BA" w:rsidP="00A238BA">
      <w:pPr>
        <w:ind w:left="360"/>
        <w:jc w:val="both"/>
        <w:rPr>
          <w:rFonts w:ascii="Arial" w:hAnsi="Arial" w:cs="Arial"/>
        </w:rPr>
      </w:pPr>
    </w:p>
    <w:p w:rsidR="00A238BA" w:rsidRDefault="00A238BA" w:rsidP="00A238B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seznamu předpokládaných dotačních programů Olomouckého kraje pro rok </w:t>
      </w:r>
      <w:r w:rsidRPr="00255696">
        <w:rPr>
          <w:rFonts w:ascii="Arial" w:hAnsi="Arial" w:cs="Arial"/>
        </w:rPr>
        <w:t xml:space="preserve">2024 nedochází k žádné redukci dotačních titulů, naopak jsou do soupisu </w:t>
      </w:r>
      <w:r>
        <w:rPr>
          <w:rFonts w:ascii="Arial" w:hAnsi="Arial" w:cs="Arial"/>
        </w:rPr>
        <w:t xml:space="preserve">k </w:t>
      </w:r>
      <w:r w:rsidRPr="00255696">
        <w:rPr>
          <w:rFonts w:ascii="Arial" w:hAnsi="Arial" w:cs="Arial"/>
        </w:rPr>
        <w:t>vyhlášení zařazeny všechny krajské granty schvalované v průběhu letošního roku, vrací se subvence vyhlašované před rokem 2020, a navíc je plánován zcela nový dotační program v sociální oblasti.</w:t>
      </w:r>
    </w:p>
    <w:p w:rsidR="00A238BA" w:rsidRDefault="00A238BA" w:rsidP="00A238BA">
      <w:pPr>
        <w:ind w:left="360"/>
        <w:jc w:val="both"/>
        <w:rPr>
          <w:rFonts w:ascii="Arial" w:hAnsi="Arial" w:cs="Arial"/>
        </w:rPr>
      </w:pPr>
    </w:p>
    <w:p w:rsidR="00A238BA" w:rsidRPr="00255696" w:rsidRDefault="00A238BA" w:rsidP="00A238BA">
      <w:pPr>
        <w:ind w:left="360"/>
        <w:jc w:val="both"/>
        <w:rPr>
          <w:rFonts w:ascii="Arial" w:hAnsi="Arial" w:cs="Arial"/>
        </w:rPr>
      </w:pPr>
      <w:r w:rsidRPr="00255696">
        <w:rPr>
          <w:rFonts w:ascii="Arial" w:hAnsi="Arial" w:cs="Arial"/>
        </w:rPr>
        <w:t xml:space="preserve"> </w:t>
      </w:r>
    </w:p>
    <w:p w:rsidR="00A238BA" w:rsidRPr="00BD1C82" w:rsidRDefault="00A238BA" w:rsidP="00A238B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1C82">
        <w:rPr>
          <w:rFonts w:ascii="Arial" w:hAnsi="Arial" w:cs="Arial"/>
        </w:rPr>
        <w:t>Informace k novým dotačním titulům:</w:t>
      </w:r>
    </w:p>
    <w:p w:rsidR="00A238BA" w:rsidRPr="00A238BA" w:rsidRDefault="00A238BA" w:rsidP="00A238BA">
      <w:pPr>
        <w:pStyle w:val="Odstavecseseznamem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8BA">
        <w:rPr>
          <w:rFonts w:ascii="Arial" w:eastAsia="Times New Roman" w:hAnsi="Arial" w:cs="Arial"/>
          <w:sz w:val="24"/>
          <w:szCs w:val="24"/>
          <w:lang w:eastAsia="cs-CZ"/>
        </w:rPr>
        <w:t xml:space="preserve">Podpora infrastruktury sociálních služeb na území OK – nový dotační titul, který byl naposledy vyhlašován pro r. 2020. Účelem je subvence projektů investičního </w:t>
      </w:r>
      <w:r w:rsidRPr="00A238B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charakteru do infrastruktury sociálních služeb za účelem zvyšování kvality materiálně-technických podmínek pro jejich poskytování. </w:t>
      </w:r>
    </w:p>
    <w:p w:rsidR="00A238BA" w:rsidRPr="00A238BA" w:rsidRDefault="00A238BA" w:rsidP="00A238BA">
      <w:pPr>
        <w:pStyle w:val="Odstavecseseznamem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8BA">
        <w:rPr>
          <w:rFonts w:ascii="Arial" w:eastAsia="Times New Roman" w:hAnsi="Arial" w:cs="Arial"/>
          <w:sz w:val="24"/>
          <w:szCs w:val="24"/>
          <w:lang w:eastAsia="cs-CZ"/>
        </w:rPr>
        <w:t>Podpora kinematografie – tento grant byl naposledy vyhlašován pro r. 2020. Cílem v „pocovidovém“ období je motivace filmařů k využití území turistických oblastí Jeseníky a Střední Morava k natáčení v regionech, prezentace turistických oblastí, budování značky Olomouckého kraje jako regionu přátelskému k filmové produkci a podpora místní ekonomiky.</w:t>
      </w:r>
    </w:p>
    <w:p w:rsidR="00A238BA" w:rsidRPr="00A238BA" w:rsidRDefault="00A238BA" w:rsidP="00A238BA">
      <w:pPr>
        <w:pStyle w:val="Odstavecseseznamem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8BA">
        <w:rPr>
          <w:rFonts w:ascii="Arial" w:eastAsia="Times New Roman" w:hAnsi="Arial" w:cs="Arial"/>
          <w:sz w:val="24"/>
          <w:szCs w:val="24"/>
          <w:lang w:eastAsia="cs-CZ"/>
        </w:rPr>
        <w:t>Dotační program na podporu dluhového poradenství v OK – zcela nový dotační program, jehož účelem je podpora poskytovatelů sociálních služeb zajišťujících dluhové poradenství a optimalizace a zvýšení kvality dluhového poradenství na území OK.  </w:t>
      </w:r>
    </w:p>
    <w:p w:rsidR="00A238BA" w:rsidRDefault="00A238BA" w:rsidP="00A238BA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Tabulka s přehledem dotačních programů z rozpočtu Olomouckého kraje na rok</w:t>
      </w:r>
      <w:r w:rsidRPr="00D22117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je přílohou č. 3 zápisu.</w:t>
      </w:r>
    </w:p>
    <w:p w:rsidR="00011F65" w:rsidRPr="00CD2835" w:rsidRDefault="00011F65" w:rsidP="00011F65">
      <w:pPr>
        <w:rPr>
          <w:rFonts w:ascii="Arial" w:hAnsi="Arial" w:cs="Arial"/>
        </w:rPr>
      </w:pPr>
    </w:p>
    <w:p w:rsidR="00011F65" w:rsidRPr="00CD2835" w:rsidRDefault="00011F65" w:rsidP="00011F65">
      <w:pPr>
        <w:rPr>
          <w:rFonts w:ascii="Arial" w:hAnsi="Arial" w:cs="Arial"/>
        </w:rPr>
      </w:pPr>
      <w:r w:rsidRPr="00CD2835">
        <w:rPr>
          <w:rFonts w:ascii="Arial" w:hAnsi="Arial" w:cs="Arial"/>
        </w:rPr>
        <w:t>Seznam dotačních programů z rozpočtu Olomouckého kraje na rok 2024 je přílohou č. 3 zápisu.</w:t>
      </w:r>
    </w:p>
    <w:p w:rsidR="00011F65" w:rsidRPr="00CD2835" w:rsidRDefault="00011F65" w:rsidP="00011F65">
      <w:pPr>
        <w:rPr>
          <w:rFonts w:ascii="Arial" w:hAnsi="Arial" w:cs="Arial"/>
        </w:rPr>
      </w:pPr>
    </w:p>
    <w:p w:rsidR="00011F65" w:rsidRPr="00CD2835" w:rsidRDefault="00011F65" w:rsidP="00011F6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D2835">
        <w:rPr>
          <w:rFonts w:ascii="Arial" w:hAnsi="Arial" w:cs="Arial"/>
          <w:u w:val="single"/>
        </w:rPr>
        <w:t>Výstupy z diskuze:</w:t>
      </w:r>
    </w:p>
    <w:p w:rsidR="00EF76AF" w:rsidRPr="00CD2835" w:rsidRDefault="00D55EAD" w:rsidP="002A474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 xml:space="preserve">Pan náměstek </w:t>
      </w:r>
      <w:r w:rsidR="00CF5C31" w:rsidRPr="00CD2835">
        <w:rPr>
          <w:rFonts w:ascii="Arial" w:hAnsi="Arial" w:cs="Arial"/>
        </w:rPr>
        <w:t xml:space="preserve">Ing. </w:t>
      </w:r>
      <w:r w:rsidRPr="00CD2835">
        <w:rPr>
          <w:rFonts w:ascii="Arial" w:hAnsi="Arial" w:cs="Arial"/>
        </w:rPr>
        <w:t xml:space="preserve">Jan Šafařík vyzval členy Výboru o podporu navýšení alokace POV 2024 o 10%, na částku 58 mil. Kč. V rámci diskuze </w:t>
      </w:r>
      <w:r w:rsidR="00084C7D">
        <w:rPr>
          <w:rFonts w:ascii="Arial" w:hAnsi="Arial" w:cs="Arial"/>
        </w:rPr>
        <w:t>č</w:t>
      </w:r>
      <w:r w:rsidR="00CF5C31" w:rsidRPr="00CD2835">
        <w:rPr>
          <w:rFonts w:ascii="Arial" w:hAnsi="Arial" w:cs="Arial"/>
        </w:rPr>
        <w:t xml:space="preserve">lenové paní Ing. Lenka </w:t>
      </w:r>
      <w:r w:rsidR="00DA6F62" w:rsidRPr="00DA6F62">
        <w:rPr>
          <w:rFonts w:ascii="Arial" w:hAnsi="Arial" w:cs="Arial"/>
        </w:rPr>
        <w:t>Jüngling</w:t>
      </w:r>
      <w:r w:rsidR="00CF5C31" w:rsidRPr="00CD2835">
        <w:rPr>
          <w:rFonts w:ascii="Arial" w:hAnsi="Arial" w:cs="Arial"/>
        </w:rPr>
        <w:t>, Bc. Jiří Vogel a Ing. Lebedová v</w:t>
      </w:r>
      <w:r w:rsidRPr="00CD2835">
        <w:rPr>
          <w:rFonts w:ascii="Arial" w:hAnsi="Arial" w:cs="Arial"/>
        </w:rPr>
        <w:t>yjádřily souhlas</w:t>
      </w:r>
      <w:r w:rsidR="00CF5C31" w:rsidRPr="00CD2835">
        <w:rPr>
          <w:rFonts w:ascii="Arial" w:hAnsi="Arial" w:cs="Arial"/>
        </w:rPr>
        <w:t xml:space="preserve"> a podporu návrhu usnesení </w:t>
      </w:r>
      <w:r w:rsidR="00315273" w:rsidRPr="00CD2835">
        <w:rPr>
          <w:rFonts w:ascii="Arial" w:hAnsi="Arial" w:cs="Arial"/>
        </w:rPr>
        <w:t>doporučit ZOK schválit navýšení alokace POV 2024 pro projednání</w:t>
      </w:r>
      <w:r w:rsidR="00CF5C31" w:rsidRPr="00CD2835">
        <w:rPr>
          <w:rFonts w:ascii="Arial" w:hAnsi="Arial" w:cs="Arial"/>
        </w:rPr>
        <w:t xml:space="preserve"> rozpočtu na rok 2024. </w:t>
      </w:r>
      <w:r w:rsidR="009B6752" w:rsidRPr="00CD2835">
        <w:rPr>
          <w:rFonts w:ascii="Arial" w:hAnsi="Arial" w:cs="Arial"/>
        </w:rPr>
        <w:t>Ostatní č</w:t>
      </w:r>
      <w:r w:rsidR="00CF5C31" w:rsidRPr="00CD2835">
        <w:rPr>
          <w:rFonts w:ascii="Arial" w:hAnsi="Arial" w:cs="Arial"/>
        </w:rPr>
        <w:t xml:space="preserve">lenové souhlasili s navýšením </w:t>
      </w:r>
      <w:r w:rsidR="00084C7D">
        <w:rPr>
          <w:rFonts w:ascii="Arial" w:hAnsi="Arial" w:cs="Arial"/>
        </w:rPr>
        <w:t xml:space="preserve">alokace pro </w:t>
      </w:r>
      <w:r w:rsidR="00CF5C31" w:rsidRPr="00CD2835">
        <w:rPr>
          <w:rFonts w:ascii="Arial" w:hAnsi="Arial" w:cs="Arial"/>
        </w:rPr>
        <w:t xml:space="preserve">dotace malých obcí. Pan Ing. Miroslav Kocián </w:t>
      </w:r>
      <w:r w:rsidR="00084C7D">
        <w:rPr>
          <w:rFonts w:ascii="Arial" w:hAnsi="Arial" w:cs="Arial"/>
        </w:rPr>
        <w:t>doplnil, že je důležité rovněž</w:t>
      </w:r>
      <w:r w:rsidR="00CF5C31" w:rsidRPr="00CD2835">
        <w:rPr>
          <w:rFonts w:ascii="Arial" w:hAnsi="Arial" w:cs="Arial"/>
        </w:rPr>
        <w:t xml:space="preserve"> ulehčit proces podání žádosti o dotace a podpoři</w:t>
      </w:r>
      <w:r w:rsidR="00084C7D">
        <w:rPr>
          <w:rFonts w:ascii="Arial" w:hAnsi="Arial" w:cs="Arial"/>
        </w:rPr>
        <w:t>l by</w:t>
      </w:r>
      <w:r w:rsidR="00CF5C31" w:rsidRPr="00CD2835">
        <w:rPr>
          <w:rFonts w:ascii="Arial" w:hAnsi="Arial" w:cs="Arial"/>
        </w:rPr>
        <w:t xml:space="preserve"> rozdělení finančních prostředků raději prostřednictvím MASek. Na závěr předseda Výboru Mgr. Šťastný vznesl návrh usnesení, kdy Výbor RR doporučuje ZOK</w:t>
      </w:r>
      <w:r w:rsidR="009B6752" w:rsidRPr="00CD2835">
        <w:rPr>
          <w:rFonts w:ascii="Arial" w:hAnsi="Arial" w:cs="Arial"/>
        </w:rPr>
        <w:t xml:space="preserve"> </w:t>
      </w:r>
      <w:r w:rsidR="0074532E" w:rsidRPr="00CD2835">
        <w:rPr>
          <w:rFonts w:ascii="Arial" w:hAnsi="Arial" w:cs="Arial"/>
        </w:rPr>
        <w:t>d</w:t>
      </w:r>
      <w:r w:rsidR="00315273" w:rsidRPr="00CD2835">
        <w:rPr>
          <w:rFonts w:ascii="Arial" w:hAnsi="Arial" w:cs="Arial"/>
        </w:rPr>
        <w:t xml:space="preserve">ne </w:t>
      </w:r>
      <w:r w:rsidR="00CF5C31" w:rsidRPr="00CD2835">
        <w:rPr>
          <w:rFonts w:ascii="Arial" w:hAnsi="Arial" w:cs="Arial"/>
        </w:rPr>
        <w:t>11. 12. 2023 schválit navýšení alokace POV na rok 2024 na</w:t>
      </w:r>
      <w:r w:rsidR="0074532E" w:rsidRPr="00CD2835">
        <w:rPr>
          <w:rFonts w:ascii="Arial" w:hAnsi="Arial" w:cs="Arial"/>
        </w:rPr>
        <w:t xml:space="preserve"> částku</w:t>
      </w:r>
      <w:r w:rsidR="00CF5C31" w:rsidRPr="00CD2835">
        <w:rPr>
          <w:rFonts w:ascii="Arial" w:hAnsi="Arial" w:cs="Arial"/>
        </w:rPr>
        <w:t xml:space="preserve"> 58 mil. Kč.</w:t>
      </w:r>
      <w:r w:rsidR="00316209" w:rsidRPr="00CD2835">
        <w:rPr>
          <w:rFonts w:ascii="Arial" w:hAnsi="Arial" w:cs="Arial"/>
        </w:rPr>
        <w:t xml:space="preserve"> Při hlasování bylo 15 členů PRO a 1 se zdržel hlasování.</w:t>
      </w:r>
    </w:p>
    <w:p w:rsidR="001C6764" w:rsidRPr="00CD2835" w:rsidRDefault="001C6764" w:rsidP="001C676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</w:p>
    <w:p w:rsidR="001C6764" w:rsidRPr="00CD2835" w:rsidRDefault="002E4EAD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Projekty s dotací EU v oblasti regionálního rozvoje</w:t>
      </w:r>
    </w:p>
    <w:p w:rsidR="007357F0" w:rsidRPr="00CD2835" w:rsidRDefault="007357F0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S prezentací vystoupila Ing. Novotná, vedoucí oddělení regionálního rozvoje, která podala informace k</w:t>
      </w:r>
      <w:r w:rsidR="00CD2835">
        <w:rPr>
          <w:rFonts w:cs="Arial"/>
          <w:szCs w:val="24"/>
        </w:rPr>
        <w:t xml:space="preserve"> aktuálně realizovaným </w:t>
      </w:r>
      <w:r w:rsidRPr="00CD2835">
        <w:rPr>
          <w:rFonts w:cs="Arial"/>
          <w:szCs w:val="24"/>
        </w:rPr>
        <w:t xml:space="preserve">projektům s dotací Evropské unie v oblasti regionálního rozvoje. Jedná se o systémové projekty, realizované ve všech krajích ČR, s cílem pomáhat řídícím orgánům EU dotací (ministerstvům) zajistit úspěšné čerpání EU fondů v regionech. </w:t>
      </w:r>
    </w:p>
    <w:p w:rsidR="007357F0" w:rsidRPr="00CD2835" w:rsidRDefault="007357F0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Nejprve představila projekt v OP Technická pomoc </w:t>
      </w:r>
      <w:r w:rsidR="002A4742" w:rsidRPr="00CD2835">
        <w:rPr>
          <w:rFonts w:cs="Arial"/>
          <w:szCs w:val="24"/>
        </w:rPr>
        <w:t>– R</w:t>
      </w:r>
      <w:r w:rsidRPr="00CD2835">
        <w:rPr>
          <w:rFonts w:cs="Arial"/>
          <w:szCs w:val="24"/>
        </w:rPr>
        <w:t>egionální</w:t>
      </w:r>
      <w:r w:rsidR="002A4742" w:rsidRPr="00CD2835">
        <w:rPr>
          <w:rFonts w:cs="Arial"/>
          <w:szCs w:val="24"/>
        </w:rPr>
        <w:t xml:space="preserve"> </w:t>
      </w:r>
      <w:r w:rsidRPr="00CD2835">
        <w:rPr>
          <w:rFonts w:cs="Arial"/>
          <w:szCs w:val="24"/>
        </w:rPr>
        <w:t>partnerství v programovém období EU 2014 – 20. Cílem je zajistit činnosti tzv. Regionální stále konference pro území Olomouckého kraje, tedy jednání RSK OK a jejích pracovních skupin (Vzdělávání, Sociální oblast, Zaměstnanost), zpracování Regionálních akčních plánů s prioritními projekty pro čerpání</w:t>
      </w:r>
      <w:r w:rsidR="00CD2835">
        <w:rPr>
          <w:rFonts w:cs="Arial"/>
          <w:szCs w:val="24"/>
        </w:rPr>
        <w:t xml:space="preserve"> regionálních obálek</w:t>
      </w:r>
      <w:r w:rsidR="002A4742" w:rsidRPr="00CD2835">
        <w:rPr>
          <w:rFonts w:cs="Arial"/>
          <w:szCs w:val="24"/>
        </w:rPr>
        <w:t>,</w:t>
      </w:r>
      <w:r w:rsidRPr="00CD2835">
        <w:rPr>
          <w:rFonts w:cs="Arial"/>
          <w:szCs w:val="24"/>
        </w:rPr>
        <w:t xml:space="preserve"> zajištění informovanosti území o připravovaných výzvách, zpracování intervenčních studií pro hospodářsky slabá a ohrožená ORP. Dále informovala o harmonogramu, rozpočtu </w:t>
      </w:r>
      <w:r w:rsidR="002A4742" w:rsidRPr="00CD2835">
        <w:rPr>
          <w:rFonts w:cs="Arial"/>
          <w:szCs w:val="24"/>
        </w:rPr>
        <w:t xml:space="preserve">a </w:t>
      </w:r>
      <w:r w:rsidR="00CD2835">
        <w:rPr>
          <w:rFonts w:cs="Arial"/>
          <w:szCs w:val="24"/>
        </w:rPr>
        <w:t>aktuálních výstupech</w:t>
      </w:r>
      <w:r w:rsidRPr="00CD2835">
        <w:rPr>
          <w:rFonts w:cs="Arial"/>
          <w:szCs w:val="24"/>
        </w:rPr>
        <w:t>.</w:t>
      </w:r>
      <w:r w:rsidR="002A4742" w:rsidRPr="00CD2835">
        <w:rPr>
          <w:rFonts w:cs="Arial"/>
          <w:szCs w:val="24"/>
        </w:rPr>
        <w:t xml:space="preserve"> Od 1.1.2024 bude </w:t>
      </w:r>
      <w:r w:rsidR="00CD2835">
        <w:rPr>
          <w:rFonts w:cs="Arial"/>
          <w:szCs w:val="24"/>
        </w:rPr>
        <w:t>zahájen další</w:t>
      </w:r>
      <w:r w:rsidR="002A4742" w:rsidRPr="00CD2835">
        <w:rPr>
          <w:rFonts w:cs="Arial"/>
          <w:szCs w:val="24"/>
        </w:rPr>
        <w:t xml:space="preserve"> projekt „Regionální partnerství v |Olomouckém kraji“, </w:t>
      </w:r>
      <w:r w:rsidR="00CD2835">
        <w:rPr>
          <w:rFonts w:cs="Arial"/>
          <w:szCs w:val="24"/>
        </w:rPr>
        <w:t>z OPTP 2021-2027 a v lednu bude předložen do výzvy OPTP</w:t>
      </w:r>
      <w:r w:rsidR="002A4742" w:rsidRPr="00CD2835">
        <w:rPr>
          <w:rFonts w:cs="Arial"/>
          <w:szCs w:val="24"/>
        </w:rPr>
        <w:t xml:space="preserve">. Realizace bude zahájena od 1.1.2024. </w:t>
      </w:r>
      <w:r w:rsidR="00CD2835">
        <w:rPr>
          <w:rFonts w:cs="Arial"/>
          <w:szCs w:val="24"/>
        </w:rPr>
        <w:t>A</w:t>
      </w:r>
      <w:r w:rsidR="002A4742" w:rsidRPr="00CD2835">
        <w:rPr>
          <w:rFonts w:cs="Arial"/>
          <w:szCs w:val="24"/>
        </w:rPr>
        <w:t>ktivity a činnosti budou navazovat na předcházející projekty podpořené z OP Technická pomoc 2014 – 2020, projektový tým je tvořen 3 pracovníky oddělení regionálního rozvoje</w:t>
      </w:r>
      <w:r w:rsidR="0076193D" w:rsidRPr="00CD2835">
        <w:rPr>
          <w:rFonts w:cs="Arial"/>
          <w:szCs w:val="24"/>
        </w:rPr>
        <w:t>.</w:t>
      </w:r>
    </w:p>
    <w:p w:rsidR="007357F0" w:rsidRPr="00CD2835" w:rsidRDefault="007357F0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V další části prezentace se věnovala představení projektu v OP Přeshraniční spolupráce ČR-Polsko. Cílem je zajistit činnosti regionálního subjektu, poskytovat individuální konzultace a konzultační dny pro žadatele, zajistit publicitu a propagaci programu na území Olomouckého kraje, síťování partnerů z česko-polských regionů. Věnovala se také harmonogramu, rozpočtu. </w:t>
      </w:r>
      <w:r w:rsidR="00CD2835">
        <w:rPr>
          <w:rFonts w:cs="Arial"/>
          <w:szCs w:val="24"/>
        </w:rPr>
        <w:t>A</w:t>
      </w:r>
      <w:r w:rsidRPr="00CD2835">
        <w:rPr>
          <w:rFonts w:cs="Arial"/>
          <w:szCs w:val="24"/>
        </w:rPr>
        <w:t>ktuálně</w:t>
      </w:r>
      <w:r w:rsidR="0076193D" w:rsidRPr="00CD2835">
        <w:rPr>
          <w:rFonts w:cs="Arial"/>
          <w:szCs w:val="24"/>
        </w:rPr>
        <w:t xml:space="preserve"> organizujeme semináře pro žadatele dne 8.11.2023 ve </w:t>
      </w:r>
      <w:r w:rsidR="0076193D" w:rsidRPr="00CD2835">
        <w:rPr>
          <w:rFonts w:cs="Arial"/>
          <w:szCs w:val="24"/>
        </w:rPr>
        <w:lastRenderedPageBreak/>
        <w:t>Zlatých Horách.</w:t>
      </w:r>
      <w:r w:rsidRPr="00CD2835">
        <w:rPr>
          <w:rFonts w:cs="Arial"/>
          <w:szCs w:val="24"/>
        </w:rPr>
        <w:t xml:space="preserve"> </w:t>
      </w:r>
      <w:r w:rsidR="0076193D" w:rsidRPr="00CD2835">
        <w:rPr>
          <w:rFonts w:cs="Arial"/>
          <w:szCs w:val="24"/>
        </w:rPr>
        <w:t>Od 1.1.2024 bude činnost regionálního subjektu financován</w:t>
      </w:r>
      <w:r w:rsidR="00CD2835">
        <w:rPr>
          <w:rFonts w:cs="Arial"/>
          <w:szCs w:val="24"/>
        </w:rPr>
        <w:t>a</w:t>
      </w:r>
      <w:r w:rsidR="0076193D" w:rsidRPr="00CD2835">
        <w:rPr>
          <w:rFonts w:cs="Arial"/>
          <w:szCs w:val="24"/>
        </w:rPr>
        <w:t xml:space="preserve"> na základě Veřejnoprávní smlouvy o plnění úkolů při naplňování činnosti regionálního subjektu Programu Interreg Česko-Polsko 2021-2027</w:t>
      </w:r>
      <w:r w:rsidR="00CD2835">
        <w:rPr>
          <w:rFonts w:cs="Arial"/>
          <w:szCs w:val="24"/>
        </w:rPr>
        <w:t xml:space="preserve"> mezi krajem a MMR ČR</w:t>
      </w:r>
      <w:r w:rsidR="0076193D" w:rsidRPr="00CD2835">
        <w:rPr>
          <w:rFonts w:cs="Arial"/>
          <w:szCs w:val="24"/>
        </w:rPr>
        <w:t>.</w:t>
      </w:r>
    </w:p>
    <w:p w:rsidR="007357F0" w:rsidRPr="00CD2835" w:rsidRDefault="007357F0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Následně představila projekt Smart Akcelerátor Olomouckého kraje II</w:t>
      </w:r>
      <w:r w:rsidR="0076193D" w:rsidRPr="00CD2835">
        <w:rPr>
          <w:rFonts w:cs="Arial"/>
          <w:szCs w:val="24"/>
        </w:rPr>
        <w:t>I v rámci Operační</w:t>
      </w:r>
      <w:r w:rsidR="00917EBA" w:rsidRPr="00CD2835">
        <w:rPr>
          <w:rFonts w:cs="Arial"/>
          <w:szCs w:val="24"/>
        </w:rPr>
        <w:t>h</w:t>
      </w:r>
      <w:r w:rsidR="0076193D" w:rsidRPr="00CD2835">
        <w:rPr>
          <w:rFonts w:cs="Arial"/>
          <w:szCs w:val="24"/>
        </w:rPr>
        <w:t>o programu Jan Amos Komenský na rok 2023 - 2026</w:t>
      </w:r>
      <w:r w:rsidRPr="00CD2835">
        <w:rPr>
          <w:rFonts w:cs="Arial"/>
          <w:szCs w:val="24"/>
        </w:rPr>
        <w:t xml:space="preserve"> který se realizuje v partnerství s Inovačním centrem Olomouckého kraje (ICOK), kdy většina odborných aktivit je zajišťována týmem ICOK.  Cílem projektu je podpora rozvoje inovačního prostředí v kraji s využitím RIS3 strategie Olomouckého kraje, a to například podpora zajištění fungujícího inovačního ekosystému, spolupráce aktérů inovačního prostředí, podpora využití výsledků výzkumu v aplikační sféře, podpora inovační výkonnosti firem, podpora podnikán</w:t>
      </w:r>
      <w:r w:rsidR="0076193D" w:rsidRPr="00CD2835">
        <w:rPr>
          <w:rFonts w:cs="Arial"/>
          <w:szCs w:val="24"/>
        </w:rPr>
        <w:t xml:space="preserve">. V rámci projektu SA OK III je </w:t>
      </w:r>
      <w:r w:rsidR="00CD2835">
        <w:rPr>
          <w:rFonts w:cs="Arial"/>
          <w:szCs w:val="24"/>
        </w:rPr>
        <w:t xml:space="preserve">od 1. 9. 2023 </w:t>
      </w:r>
      <w:r w:rsidR="0076193D" w:rsidRPr="00CD2835">
        <w:rPr>
          <w:rFonts w:cs="Arial"/>
          <w:szCs w:val="24"/>
        </w:rPr>
        <w:t>podporován rozvoj koncep</w:t>
      </w:r>
      <w:r w:rsidR="00CD2835">
        <w:rPr>
          <w:rFonts w:cs="Arial"/>
          <w:szCs w:val="24"/>
        </w:rPr>
        <w:t>tu</w:t>
      </w:r>
      <w:r w:rsidR="0076193D" w:rsidRPr="00CD2835">
        <w:rPr>
          <w:rFonts w:cs="Arial"/>
          <w:szCs w:val="24"/>
        </w:rPr>
        <w:t xml:space="preserve"> Smart region Olomoucký kraj. </w:t>
      </w:r>
    </w:p>
    <w:p w:rsidR="007357F0" w:rsidRDefault="007357F0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Závěr prezentace byl věnován Krajskému akčnímu plánu rozvoje vzdělávání Olomouckého kraje III, jehož cílem je přispět ke zlepšení řízení škol a školských zařízení, přenést systémové změny Strategie 2023+ ve vzdělávání do území a na úroveň jednotlivých škol, pokračovat v nastavěném systému akčního plánování. Přednášející informovala o období realizace projektu, celkových způsobilých výdajích projektu a cílové skupině projektu, kterou jsou především pedagogičtí pracovníci škol a školských zařízení, ale i rodiče dětí a žáků. V roce 2022 byla zpracována analýza potřeb území, prioritizace potřeb, souhrnný rámec pro investice SŠ a VOŠ, připravují se podklady pro akční plány na rok 2023, 2024, 2025. V roce 2023 </w:t>
      </w:r>
      <w:r w:rsidR="00CD2835">
        <w:rPr>
          <w:rFonts w:cs="Arial"/>
          <w:szCs w:val="24"/>
        </w:rPr>
        <w:t>jsou</w:t>
      </w:r>
      <w:r w:rsidRPr="00CD2835">
        <w:rPr>
          <w:rFonts w:cs="Arial"/>
          <w:szCs w:val="24"/>
        </w:rPr>
        <w:t xml:space="preserve"> organizovány workshopy, tematická setkání a zpracována evaluace aktivit projektu.</w:t>
      </w:r>
    </w:p>
    <w:p w:rsidR="00CD2835" w:rsidRPr="00CD2835" w:rsidRDefault="00CD2835" w:rsidP="007357F0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U všech projektů byly představeny komunikační kanály a odkazy na bližší informace o aktivitách projektů.</w:t>
      </w:r>
    </w:p>
    <w:p w:rsidR="002E4EAD" w:rsidRPr="00CD2835" w:rsidRDefault="002E4EAD" w:rsidP="00485A0A">
      <w:pPr>
        <w:jc w:val="both"/>
        <w:rPr>
          <w:rFonts w:ascii="Arial" w:eastAsiaTheme="minorEastAsia" w:hAnsi="Arial" w:cs="Arial"/>
        </w:rPr>
      </w:pPr>
    </w:p>
    <w:p w:rsidR="00C31E35" w:rsidRPr="00CD2835" w:rsidRDefault="00C31E35" w:rsidP="00485A0A">
      <w:pPr>
        <w:jc w:val="both"/>
        <w:rPr>
          <w:rFonts w:ascii="Arial" w:eastAsiaTheme="minorEastAsia" w:hAnsi="Arial" w:cs="Arial"/>
        </w:rPr>
      </w:pPr>
      <w:r w:rsidRPr="00CD2835">
        <w:rPr>
          <w:rFonts w:ascii="Arial" w:eastAsiaTheme="minorEastAsia" w:hAnsi="Arial" w:cs="Arial"/>
        </w:rPr>
        <w:t>Prezentace je přílohou č</w:t>
      </w:r>
      <w:r w:rsidR="00E2368B">
        <w:rPr>
          <w:rFonts w:ascii="Arial" w:eastAsiaTheme="minorEastAsia" w:hAnsi="Arial" w:cs="Arial"/>
        </w:rPr>
        <w:t xml:space="preserve">. </w:t>
      </w:r>
      <w:r w:rsidR="00917EBA" w:rsidRPr="00CD2835">
        <w:rPr>
          <w:rFonts w:ascii="Arial" w:eastAsiaTheme="minorEastAsia" w:hAnsi="Arial" w:cs="Arial"/>
        </w:rPr>
        <w:t>4</w:t>
      </w:r>
      <w:r w:rsidRPr="00CD2835">
        <w:rPr>
          <w:rFonts w:ascii="Arial" w:eastAsiaTheme="minorEastAsia" w:hAnsi="Arial" w:cs="Arial"/>
        </w:rPr>
        <w:t xml:space="preserve"> zápisu.</w:t>
      </w:r>
    </w:p>
    <w:p w:rsidR="000F3AEB" w:rsidRPr="00CD2835" w:rsidRDefault="000F3AEB" w:rsidP="000F3AEB">
      <w:pPr>
        <w:jc w:val="both"/>
        <w:rPr>
          <w:rFonts w:ascii="Arial" w:hAnsi="Arial" w:cs="Arial"/>
          <w:noProof/>
        </w:rPr>
      </w:pPr>
    </w:p>
    <w:p w:rsidR="001C6764" w:rsidRPr="00CD2835" w:rsidRDefault="00917EBA" w:rsidP="005C664E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Iniciace témat do plánu jednání na rok 2024</w:t>
      </w:r>
    </w:p>
    <w:p w:rsidR="00DD1D4D" w:rsidRPr="00CD2835" w:rsidRDefault="00171113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Ing. Marta Novotná </w:t>
      </w:r>
      <w:r w:rsidR="00917EBA" w:rsidRPr="00CD2835">
        <w:rPr>
          <w:rFonts w:cs="Arial"/>
          <w:szCs w:val="24"/>
        </w:rPr>
        <w:t>uvedla návrh termínů konání Výborů v příštím roce 2024.</w:t>
      </w:r>
    </w:p>
    <w:p w:rsidR="00917EBA" w:rsidRPr="00CD2835" w:rsidRDefault="00917EBA" w:rsidP="00917EBA">
      <w:pPr>
        <w:pStyle w:val="slo1text"/>
        <w:tabs>
          <w:tab w:val="clear" w:pos="567"/>
        </w:tabs>
        <w:spacing w:after="0"/>
        <w:rPr>
          <w:rFonts w:cs="Arial"/>
          <w:szCs w:val="24"/>
        </w:rPr>
      </w:pPr>
      <w:r w:rsidRPr="00CD2835">
        <w:rPr>
          <w:rFonts w:cs="Arial"/>
          <w:szCs w:val="24"/>
        </w:rPr>
        <w:t>Termíny zasedání Výborů, vždy první středu v měsíci, a to od 13:00 hodin.</w:t>
      </w:r>
    </w:p>
    <w:p w:rsidR="00917EBA" w:rsidRPr="00CD2835" w:rsidRDefault="00917EBA" w:rsidP="00917EBA">
      <w:pPr>
        <w:pStyle w:val="slo1text"/>
        <w:tabs>
          <w:tab w:val="clear" w:pos="567"/>
        </w:tabs>
        <w:spacing w:after="0"/>
        <w:ind w:left="927" w:firstLine="0"/>
        <w:rPr>
          <w:rFonts w:cs="Arial"/>
          <w:szCs w:val="24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089"/>
      </w:tblGrid>
      <w:tr w:rsidR="00917EBA" w:rsidRPr="00CD2835" w:rsidTr="00327C49">
        <w:tc>
          <w:tcPr>
            <w:tcW w:w="2046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 xml:space="preserve">Pořadí zasedání </w:t>
            </w:r>
          </w:p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V-RR</w:t>
            </w:r>
          </w:p>
        </w:tc>
        <w:tc>
          <w:tcPr>
            <w:tcW w:w="6089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left"/>
              <w:rPr>
                <w:rFonts w:cs="Arial"/>
                <w:szCs w:val="24"/>
              </w:rPr>
            </w:pPr>
          </w:p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left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Datum</w:t>
            </w:r>
          </w:p>
        </w:tc>
      </w:tr>
      <w:tr w:rsidR="00917EBA" w:rsidRPr="00CD2835" w:rsidTr="00327C49">
        <w:tc>
          <w:tcPr>
            <w:tcW w:w="2046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17.</w:t>
            </w:r>
          </w:p>
        </w:tc>
        <w:tc>
          <w:tcPr>
            <w:tcW w:w="6089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7. 2. 2024</w:t>
            </w:r>
          </w:p>
        </w:tc>
      </w:tr>
      <w:tr w:rsidR="00917EBA" w:rsidRPr="00CD2835" w:rsidTr="00327C49">
        <w:tc>
          <w:tcPr>
            <w:tcW w:w="2046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18.</w:t>
            </w:r>
          </w:p>
        </w:tc>
        <w:tc>
          <w:tcPr>
            <w:tcW w:w="6089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3. 4. 2024</w:t>
            </w:r>
          </w:p>
        </w:tc>
      </w:tr>
      <w:tr w:rsidR="00917EBA" w:rsidRPr="00CD2835" w:rsidTr="00327C49">
        <w:tc>
          <w:tcPr>
            <w:tcW w:w="2046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19.</w:t>
            </w:r>
          </w:p>
        </w:tc>
        <w:tc>
          <w:tcPr>
            <w:tcW w:w="6089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5. 6. 2024</w:t>
            </w:r>
          </w:p>
        </w:tc>
      </w:tr>
      <w:tr w:rsidR="00917EBA" w:rsidRPr="00CD2835" w:rsidTr="00327C49">
        <w:tc>
          <w:tcPr>
            <w:tcW w:w="2046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jc w:val="center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20.</w:t>
            </w:r>
          </w:p>
        </w:tc>
        <w:tc>
          <w:tcPr>
            <w:tcW w:w="6089" w:type="dxa"/>
            <w:shd w:val="clear" w:color="auto" w:fill="auto"/>
          </w:tcPr>
          <w:p w:rsidR="00917EBA" w:rsidRPr="00CD2835" w:rsidRDefault="00917EBA" w:rsidP="00327C49">
            <w:pPr>
              <w:pStyle w:val="slo1text"/>
              <w:tabs>
                <w:tab w:val="clear" w:pos="567"/>
              </w:tabs>
              <w:spacing w:after="0"/>
              <w:ind w:left="0" w:firstLine="0"/>
              <w:rPr>
                <w:rFonts w:cs="Arial"/>
                <w:szCs w:val="24"/>
              </w:rPr>
            </w:pPr>
            <w:r w:rsidRPr="00CD2835">
              <w:rPr>
                <w:rFonts w:cs="Arial"/>
                <w:szCs w:val="24"/>
              </w:rPr>
              <w:t>4. 9. 2024</w:t>
            </w:r>
          </w:p>
        </w:tc>
      </w:tr>
    </w:tbl>
    <w:p w:rsidR="00917EBA" w:rsidRPr="00CD2835" w:rsidRDefault="00917EBA" w:rsidP="00917EBA">
      <w:pPr>
        <w:pStyle w:val="slo1text"/>
        <w:tabs>
          <w:tab w:val="clear" w:pos="567"/>
        </w:tabs>
        <w:spacing w:after="0"/>
        <w:rPr>
          <w:rFonts w:cs="Arial"/>
          <w:szCs w:val="24"/>
        </w:rPr>
      </w:pPr>
    </w:p>
    <w:p w:rsidR="00917EBA" w:rsidRDefault="00917EBA" w:rsidP="00917EBA">
      <w:pPr>
        <w:pStyle w:val="slo1text"/>
        <w:tabs>
          <w:tab w:val="clear" w:pos="567"/>
        </w:tabs>
        <w:spacing w:after="0"/>
        <w:rPr>
          <w:rFonts w:cs="Arial"/>
          <w:szCs w:val="24"/>
        </w:rPr>
      </w:pPr>
      <w:r w:rsidRPr="00CD2835">
        <w:rPr>
          <w:rFonts w:cs="Arial"/>
          <w:szCs w:val="24"/>
        </w:rPr>
        <w:t>Předseda Mgr. Šťastný vyzval členy k zasílání návrhů témat jednání v roce 2024.</w:t>
      </w:r>
    </w:p>
    <w:p w:rsidR="00A73AF7" w:rsidRDefault="00A73AF7" w:rsidP="00A73AF7">
      <w:pPr>
        <w:rPr>
          <w:rFonts w:ascii="Arial" w:hAnsi="Arial" w:cs="Arial"/>
          <w:b/>
          <w:color w:val="000000"/>
        </w:rPr>
      </w:pPr>
    </w:p>
    <w:p w:rsidR="00A73AF7" w:rsidRPr="00A73AF7" w:rsidRDefault="00A73AF7" w:rsidP="00084C7D">
      <w:pPr>
        <w:jc w:val="both"/>
        <w:rPr>
          <w:rFonts w:ascii="Arial" w:hAnsi="Arial" w:cs="Arial"/>
          <w:color w:val="000000"/>
        </w:rPr>
      </w:pPr>
      <w:bookmarkStart w:id="0" w:name="_GoBack"/>
      <w:r w:rsidRPr="00A73AF7">
        <w:rPr>
          <w:rFonts w:ascii="Arial" w:hAnsi="Arial" w:cs="Arial"/>
          <w:color w:val="000000"/>
        </w:rPr>
        <w:t xml:space="preserve">Návrh témat na zaměření činnosti Výboru pro regionální rozvoj Zastupitelstva Olomouckého kraje v roce 2024: </w:t>
      </w:r>
    </w:p>
    <w:p w:rsidR="00A73AF7" w:rsidRDefault="00A73AF7" w:rsidP="00084C7D">
      <w:pPr>
        <w:jc w:val="both"/>
        <w:rPr>
          <w:rFonts w:ascii="Arial" w:hAnsi="Arial" w:cs="Arial"/>
          <w:color w:val="000000"/>
        </w:rPr>
      </w:pPr>
    </w:p>
    <w:p w:rsidR="00A73AF7" w:rsidRDefault="00A73AF7" w:rsidP="00084C7D">
      <w:pPr>
        <w:pStyle w:val="slo1text"/>
        <w:widowControl/>
        <w:numPr>
          <w:ilvl w:val="0"/>
          <w:numId w:val="43"/>
        </w:numPr>
        <w:tabs>
          <w:tab w:val="left" w:pos="708"/>
        </w:tabs>
        <w:outlineLvl w:val="9"/>
      </w:pPr>
      <w:r>
        <w:t xml:space="preserve">Strategie rozvoje územního obvodu Olomouckého kraje – vyhodnocení za rok 2023 a plnění monitorovacích indikátorů pro hodnocení strategie </w:t>
      </w:r>
    </w:p>
    <w:p w:rsidR="00A73AF7" w:rsidRDefault="00A73AF7" w:rsidP="00084C7D">
      <w:pPr>
        <w:pStyle w:val="slo1text"/>
        <w:widowControl/>
        <w:numPr>
          <w:ilvl w:val="0"/>
          <w:numId w:val="43"/>
        </w:numPr>
        <w:tabs>
          <w:tab w:val="left" w:pos="708"/>
        </w:tabs>
        <w:outlineLvl w:val="9"/>
      </w:pPr>
      <w:r>
        <w:lastRenderedPageBreak/>
        <w:t>Informace k vyhlašovaným dotačním programům z rozpočtu Olomouckého kraje na rok 2024</w:t>
      </w:r>
    </w:p>
    <w:p w:rsidR="00A73AF7" w:rsidRDefault="00A73AF7" w:rsidP="00084C7D">
      <w:pPr>
        <w:pStyle w:val="slo1text"/>
        <w:widowControl/>
        <w:numPr>
          <w:ilvl w:val="0"/>
          <w:numId w:val="43"/>
        </w:numPr>
        <w:tabs>
          <w:tab w:val="left" w:pos="708"/>
        </w:tabs>
        <w:outlineLvl w:val="9"/>
      </w:pPr>
      <w:r>
        <w:t>Aktuální informace z oblasti územního plánování</w:t>
      </w:r>
    </w:p>
    <w:bookmarkEnd w:id="0"/>
    <w:p w:rsidR="00A73AF7" w:rsidRDefault="00A73AF7" w:rsidP="00A73AF7">
      <w:pPr>
        <w:pStyle w:val="slo1text"/>
        <w:widowControl/>
        <w:numPr>
          <w:ilvl w:val="0"/>
          <w:numId w:val="43"/>
        </w:numPr>
        <w:tabs>
          <w:tab w:val="left" w:pos="708"/>
        </w:tabs>
        <w:outlineLvl w:val="9"/>
      </w:pPr>
      <w:r>
        <w:t xml:space="preserve">Aktivity pro podporu podnikání a investic v roce 2024 </w:t>
      </w:r>
    </w:p>
    <w:p w:rsidR="00A73AF7" w:rsidRDefault="00A73AF7" w:rsidP="00A73AF7">
      <w:pPr>
        <w:pStyle w:val="slo1text"/>
        <w:widowControl/>
        <w:numPr>
          <w:ilvl w:val="0"/>
          <w:numId w:val="43"/>
        </w:numPr>
        <w:tabs>
          <w:tab w:val="left" w:pos="708"/>
        </w:tabs>
        <w:outlineLvl w:val="9"/>
      </w:pPr>
      <w:r>
        <w:t>Projekty s dotací EU v oblasti regionálního rozvoje</w:t>
      </w:r>
    </w:p>
    <w:p w:rsidR="00A73AF7" w:rsidRPr="00CD2835" w:rsidRDefault="00A73AF7" w:rsidP="00917EBA">
      <w:pPr>
        <w:pStyle w:val="slo1text"/>
        <w:tabs>
          <w:tab w:val="clear" w:pos="567"/>
        </w:tabs>
        <w:spacing w:after="0"/>
        <w:rPr>
          <w:rFonts w:cs="Arial"/>
          <w:szCs w:val="24"/>
        </w:rPr>
      </w:pPr>
    </w:p>
    <w:p w:rsidR="00917EBA" w:rsidRPr="00CD2835" w:rsidRDefault="00917EBA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917EBA" w:rsidRPr="00CD2835" w:rsidRDefault="00917EBA" w:rsidP="00917EBA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Zvýšení členského příspěvku Euroregionu Praděd</w:t>
      </w:r>
    </w:p>
    <w:p w:rsidR="00917EBA" w:rsidRPr="00CD2835" w:rsidRDefault="00917EBA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Ing. Marta Novotná představila členům Výboru </w:t>
      </w:r>
      <w:r w:rsidR="00CD2835">
        <w:rPr>
          <w:rFonts w:cs="Arial"/>
          <w:szCs w:val="24"/>
        </w:rPr>
        <w:t xml:space="preserve">připravený </w:t>
      </w:r>
      <w:r w:rsidRPr="00CD2835">
        <w:rPr>
          <w:rFonts w:cs="Arial"/>
          <w:szCs w:val="24"/>
        </w:rPr>
        <w:t>materiál</w:t>
      </w:r>
      <w:r w:rsidR="007C1B4E" w:rsidRPr="00CD2835">
        <w:rPr>
          <w:rFonts w:cs="Arial"/>
          <w:szCs w:val="24"/>
        </w:rPr>
        <w:t xml:space="preserve"> do Zastupitelstva dne 11.12.2023, který obsahuje žádost o navýšení členského příspěvku Euroregionu Praděd a uzavření Dodatku č. 2 ke Smlouvě o přidruženém členství.</w:t>
      </w:r>
    </w:p>
    <w:p w:rsidR="007C1B4E" w:rsidRPr="00CD2835" w:rsidRDefault="007C1B4E" w:rsidP="007C1B4E">
      <w:pPr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 xml:space="preserve">Rada Olomouckého kraje doporučila svým usnesením UR/93/55/2023 ze dne 23. 10. 2023 Zastupitelstvu Olomouckého kraje schválit navýšení členského příspěvku ER Praděd ze 400 000 Kč na částku 520 000 Kč, a zároveň doporučila ZOK schválit uzavření Dodatku č. 2 ke Smlouvě o přidruženém členství. </w:t>
      </w:r>
      <w:r w:rsidR="00CD2835">
        <w:rPr>
          <w:rFonts w:ascii="Arial" w:hAnsi="Arial" w:cs="Arial"/>
        </w:rPr>
        <w:t>Jedná se o navýšení členského příspěvku o 30%.</w:t>
      </w:r>
      <w:r w:rsidRPr="00CD2835">
        <w:rPr>
          <w:rFonts w:ascii="Arial" w:hAnsi="Arial" w:cs="Arial"/>
        </w:rPr>
        <w:t xml:space="preserve"> </w:t>
      </w:r>
    </w:p>
    <w:p w:rsidR="007C1B4E" w:rsidRPr="00CD2835" w:rsidRDefault="007C1B4E" w:rsidP="007C1B4E">
      <w:pPr>
        <w:jc w:val="both"/>
        <w:rPr>
          <w:rFonts w:ascii="Arial" w:hAnsi="Arial" w:cs="Arial"/>
        </w:rPr>
      </w:pPr>
      <w:r w:rsidRPr="00CD2835">
        <w:rPr>
          <w:rFonts w:ascii="Arial" w:hAnsi="Arial" w:cs="Arial"/>
        </w:rPr>
        <w:t>Obdobné uzavření dodatku s Euroregionem Glacensis bylo schváleno usnesením Zastupitelstva Olomouckého kraje č. UZ/16/71/2023 ze dne 18. 9. 2023.</w:t>
      </w:r>
    </w:p>
    <w:p w:rsidR="007C1B4E" w:rsidRPr="00CD2835" w:rsidRDefault="007C1B4E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917EBA" w:rsidRPr="00CD2835" w:rsidRDefault="00917EBA" w:rsidP="00917EBA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C31E35" w:rsidRPr="00CD2835" w:rsidRDefault="001C6764" w:rsidP="00C31E35">
      <w:pPr>
        <w:pStyle w:val="slo1text"/>
        <w:numPr>
          <w:ilvl w:val="0"/>
          <w:numId w:val="28"/>
        </w:numPr>
        <w:rPr>
          <w:rFonts w:cs="Arial"/>
          <w:b/>
          <w:szCs w:val="24"/>
        </w:rPr>
      </w:pPr>
      <w:r w:rsidRPr="00CD2835">
        <w:rPr>
          <w:rFonts w:cs="Arial"/>
          <w:b/>
          <w:szCs w:val="24"/>
        </w:rPr>
        <w:t>Různé</w:t>
      </w:r>
    </w:p>
    <w:p w:rsidR="001A1F12" w:rsidRPr="00CD2835" w:rsidRDefault="00E536C2" w:rsidP="007C1B4E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Ing. Novotná sdělila, že další zasedání Výboru je naplánováno na </w:t>
      </w:r>
      <w:r w:rsidR="007C1B4E" w:rsidRPr="00CD2835">
        <w:rPr>
          <w:rFonts w:cs="Arial"/>
          <w:szCs w:val="24"/>
        </w:rPr>
        <w:t>7. 2. 2024</w:t>
      </w:r>
      <w:r w:rsidRPr="00CD2835">
        <w:rPr>
          <w:rFonts w:cs="Arial"/>
          <w:szCs w:val="24"/>
        </w:rPr>
        <w:t xml:space="preserve"> od 13:00 </w:t>
      </w:r>
      <w:r w:rsidR="007C1B4E" w:rsidRPr="00CD2835">
        <w:rPr>
          <w:rFonts w:cs="Arial"/>
          <w:szCs w:val="24"/>
        </w:rPr>
        <w:t>místnost bude ještě upřesněna.</w:t>
      </w:r>
    </w:p>
    <w:p w:rsidR="00E536C2" w:rsidRPr="00CD2835" w:rsidRDefault="00684D52" w:rsidP="00E536C2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>Mgr. Roman Šťastný</w:t>
      </w:r>
      <w:r w:rsidR="00E536C2" w:rsidRPr="00CD2835">
        <w:rPr>
          <w:rFonts w:cs="Arial"/>
          <w:szCs w:val="24"/>
        </w:rPr>
        <w:t xml:space="preserve"> také vyzval členy, aby se na n</w:t>
      </w:r>
      <w:r w:rsidRPr="00CD2835">
        <w:rPr>
          <w:rFonts w:cs="Arial"/>
          <w:szCs w:val="24"/>
        </w:rPr>
        <w:t>ěho</w:t>
      </w:r>
      <w:r w:rsidR="00E536C2" w:rsidRPr="00CD2835">
        <w:rPr>
          <w:rFonts w:cs="Arial"/>
          <w:szCs w:val="24"/>
        </w:rPr>
        <w:t>, případně na pana náměstka obraceli s témat</w:t>
      </w:r>
      <w:r w:rsidR="001A1F12" w:rsidRPr="00CD2835">
        <w:rPr>
          <w:rFonts w:cs="Arial"/>
          <w:szCs w:val="24"/>
        </w:rPr>
        <w:t>y</w:t>
      </w:r>
      <w:r w:rsidR="00E536C2" w:rsidRPr="00CD2835">
        <w:rPr>
          <w:rFonts w:cs="Arial"/>
          <w:szCs w:val="24"/>
        </w:rPr>
        <w:t>, které chtějí projednat na Výboru</w:t>
      </w:r>
      <w:r w:rsidR="00315273" w:rsidRPr="00CD2835">
        <w:rPr>
          <w:rFonts w:cs="Arial"/>
          <w:szCs w:val="24"/>
        </w:rPr>
        <w:t xml:space="preserve"> v příštím roce</w:t>
      </w:r>
      <w:r w:rsidR="00E536C2" w:rsidRPr="00CD2835">
        <w:rPr>
          <w:rFonts w:cs="Arial"/>
          <w:szCs w:val="24"/>
        </w:rPr>
        <w:t>.</w:t>
      </w:r>
      <w:r w:rsidRPr="00CD2835">
        <w:rPr>
          <w:rFonts w:cs="Arial"/>
          <w:szCs w:val="24"/>
        </w:rPr>
        <w:t xml:space="preserve"> Pan náměstek Ing. Jan Šafařík poděkoval všem za spolupráci.</w:t>
      </w:r>
    </w:p>
    <w:p w:rsidR="007C1B4E" w:rsidRPr="00CD2835" w:rsidRDefault="007C1B4E" w:rsidP="00E536C2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7F2BF4" w:rsidRPr="00CD2835" w:rsidRDefault="007F2BF4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975D37" w:rsidRPr="00CD2835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V Olomouci dne </w:t>
      </w:r>
      <w:r w:rsidR="007C1B4E" w:rsidRPr="00CD2835">
        <w:rPr>
          <w:rFonts w:cs="Arial"/>
          <w:szCs w:val="24"/>
        </w:rPr>
        <w:t>1.11.</w:t>
      </w:r>
      <w:r w:rsidR="00206160" w:rsidRPr="00CD2835">
        <w:rPr>
          <w:rFonts w:cs="Arial"/>
          <w:szCs w:val="24"/>
        </w:rPr>
        <w:t xml:space="preserve"> 2023</w:t>
      </w:r>
    </w:p>
    <w:p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F74237" w:rsidRPr="00CD2835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</w:p>
    <w:p w:rsidR="00975D37" w:rsidRPr="00CD2835" w:rsidRDefault="00975D37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……………………………….</w:t>
      </w:r>
    </w:p>
    <w:p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Mgr. Roman Šťastný</w:t>
      </w:r>
    </w:p>
    <w:p w:rsidR="00975D37" w:rsidRPr="00CD2835" w:rsidRDefault="00900A46">
      <w:pPr>
        <w:pStyle w:val="Podpis"/>
        <w:rPr>
          <w:rFonts w:cs="Arial"/>
          <w:szCs w:val="24"/>
        </w:rPr>
      </w:pPr>
      <w:r w:rsidRPr="00CD2835">
        <w:rPr>
          <w:rFonts w:cs="Arial"/>
          <w:szCs w:val="24"/>
        </w:rPr>
        <w:t>předseda Vý</w:t>
      </w:r>
      <w:r w:rsidR="00975D37" w:rsidRPr="00CD2835">
        <w:rPr>
          <w:rFonts w:cs="Arial"/>
          <w:szCs w:val="24"/>
        </w:rPr>
        <w:t>boru</w:t>
      </w:r>
    </w:p>
    <w:p w:rsidR="005060CA" w:rsidRPr="00CD2835" w:rsidRDefault="005060CA" w:rsidP="00ED3B94">
      <w:pPr>
        <w:pStyle w:val="Vborplohy"/>
        <w:jc w:val="both"/>
        <w:rPr>
          <w:b/>
          <w:sz w:val="24"/>
          <w:szCs w:val="24"/>
        </w:rPr>
      </w:pPr>
    </w:p>
    <w:p w:rsidR="0019639C" w:rsidRPr="00CD2835" w:rsidRDefault="00975D37" w:rsidP="00ED3B94">
      <w:pPr>
        <w:pStyle w:val="Vborplohy"/>
        <w:jc w:val="both"/>
        <w:rPr>
          <w:sz w:val="24"/>
          <w:szCs w:val="24"/>
        </w:rPr>
      </w:pPr>
      <w:r w:rsidRPr="00CD2835">
        <w:rPr>
          <w:b/>
          <w:sz w:val="24"/>
          <w:szCs w:val="24"/>
        </w:rPr>
        <w:t>Přílohy</w:t>
      </w:r>
      <w:r w:rsidRPr="00CD2835">
        <w:rPr>
          <w:sz w:val="24"/>
          <w:szCs w:val="24"/>
        </w:rPr>
        <w:t xml:space="preserve">: </w:t>
      </w:r>
      <w:r w:rsidR="00897C2D" w:rsidRPr="00CD2835">
        <w:rPr>
          <w:sz w:val="24"/>
          <w:szCs w:val="24"/>
        </w:rPr>
        <w:tab/>
      </w:r>
    </w:p>
    <w:p w:rsidR="00975D37" w:rsidRPr="00CD2835" w:rsidRDefault="0019639C" w:rsidP="00ED3B94">
      <w:pPr>
        <w:pStyle w:val="Vborplohy"/>
        <w:jc w:val="both"/>
        <w:rPr>
          <w:sz w:val="24"/>
          <w:szCs w:val="24"/>
        </w:rPr>
      </w:pPr>
      <w:r w:rsidRPr="00CD2835">
        <w:rPr>
          <w:sz w:val="24"/>
          <w:szCs w:val="24"/>
        </w:rPr>
        <w:t xml:space="preserve">Příloha č. 1 </w:t>
      </w:r>
      <w:r w:rsidR="00ED3B94" w:rsidRPr="00CD2835">
        <w:rPr>
          <w:sz w:val="24"/>
          <w:szCs w:val="24"/>
        </w:rPr>
        <w:t>–</w:t>
      </w:r>
      <w:r w:rsidRPr="00CD2835">
        <w:rPr>
          <w:noProof/>
          <w:sz w:val="24"/>
          <w:szCs w:val="24"/>
        </w:rPr>
        <w:t xml:space="preserve"> </w:t>
      </w:r>
      <w:r w:rsidR="00E536C2" w:rsidRPr="00CD2835">
        <w:rPr>
          <w:noProof/>
          <w:sz w:val="24"/>
          <w:szCs w:val="24"/>
        </w:rPr>
        <w:t>Informace z jednání orgánů kraje</w:t>
      </w:r>
    </w:p>
    <w:p w:rsidR="00230A6F" w:rsidRPr="00CD2835" w:rsidRDefault="0019639C" w:rsidP="00E2368B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2 </w:t>
      </w:r>
      <w:r w:rsidR="00ED3B94" w:rsidRPr="00CD2835">
        <w:rPr>
          <w:rFonts w:cs="Arial"/>
          <w:szCs w:val="24"/>
        </w:rPr>
        <w:t>–</w:t>
      </w:r>
      <w:r w:rsidR="00EE50FE" w:rsidRPr="00CD2835">
        <w:rPr>
          <w:rFonts w:cs="Arial"/>
          <w:szCs w:val="24"/>
        </w:rPr>
        <w:t xml:space="preserve"> </w:t>
      </w:r>
      <w:r w:rsidR="007C1B4E" w:rsidRPr="00CD2835">
        <w:rPr>
          <w:rFonts w:cs="Arial"/>
          <w:szCs w:val="24"/>
        </w:rPr>
        <w:t xml:space="preserve">Informace k vyhlašovaným dotačním programům z rozpočtu Olomouckého </w:t>
      </w:r>
      <w:r w:rsidR="00E2368B">
        <w:rPr>
          <w:rFonts w:cs="Arial"/>
          <w:szCs w:val="24"/>
        </w:rPr>
        <w:t xml:space="preserve"> </w:t>
      </w:r>
      <w:r w:rsidR="007C1B4E" w:rsidRPr="00CD2835">
        <w:rPr>
          <w:rFonts w:cs="Arial"/>
          <w:szCs w:val="24"/>
        </w:rPr>
        <w:t>kraje na rok 2024</w:t>
      </w:r>
    </w:p>
    <w:p w:rsidR="00230A6F" w:rsidRPr="00CD2835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3 </w:t>
      </w:r>
      <w:r w:rsidR="00ED3B9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E2368B" w:rsidRPr="00D22117">
        <w:rPr>
          <w:rFonts w:cs="Arial"/>
        </w:rPr>
        <w:t>Seznam</w:t>
      </w:r>
      <w:r w:rsidR="00E2368B">
        <w:rPr>
          <w:rFonts w:cs="Arial"/>
        </w:rPr>
        <w:t xml:space="preserve"> dotačních programů z rozpočtu Olomouckého kraje na rok</w:t>
      </w:r>
      <w:r w:rsidR="00E2368B" w:rsidRPr="00D22117">
        <w:rPr>
          <w:rFonts w:cs="Arial"/>
        </w:rPr>
        <w:t xml:space="preserve"> 2024</w:t>
      </w:r>
    </w:p>
    <w:p w:rsidR="003C676B" w:rsidRPr="00CD2835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CD2835">
        <w:rPr>
          <w:rFonts w:cs="Arial"/>
          <w:szCs w:val="24"/>
        </w:rPr>
        <w:t xml:space="preserve">Příloha č. </w:t>
      </w:r>
      <w:r w:rsidR="00EE50FE" w:rsidRPr="00CD2835">
        <w:rPr>
          <w:rFonts w:cs="Arial"/>
          <w:szCs w:val="24"/>
        </w:rPr>
        <w:t xml:space="preserve">4 </w:t>
      </w:r>
      <w:r w:rsidR="001C6764" w:rsidRPr="00CD2835">
        <w:rPr>
          <w:rFonts w:cs="Arial"/>
          <w:szCs w:val="24"/>
        </w:rPr>
        <w:t>–</w:t>
      </w:r>
      <w:r w:rsidR="00E536C2" w:rsidRPr="00CD2835">
        <w:rPr>
          <w:rFonts w:cs="Arial"/>
          <w:szCs w:val="24"/>
        </w:rPr>
        <w:t xml:space="preserve"> </w:t>
      </w:r>
      <w:r w:rsidR="00E2368B">
        <w:rPr>
          <w:szCs w:val="24"/>
        </w:rPr>
        <w:t>Projekty s dotací EU v oblasti regionálního rozvoje</w:t>
      </w:r>
    </w:p>
    <w:p w:rsidR="00975D37" w:rsidRPr="00CD2835" w:rsidRDefault="00975D37">
      <w:pPr>
        <w:pStyle w:val="Zkladntext"/>
        <w:rPr>
          <w:rFonts w:cs="Arial"/>
          <w:szCs w:val="24"/>
        </w:rPr>
      </w:pPr>
    </w:p>
    <w:sectPr w:rsidR="00975D37" w:rsidRPr="00CD283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58" w:rsidRDefault="008E4E58">
      <w:r>
        <w:separator/>
      </w:r>
    </w:p>
  </w:endnote>
  <w:endnote w:type="continuationSeparator" w:id="0">
    <w:p w:rsidR="008E4E58" w:rsidRDefault="008E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FA" w:rsidRPr="00FD67F2" w:rsidRDefault="001467F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84C7D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084C7D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58" w:rsidRDefault="008E4E58">
      <w:r>
        <w:separator/>
      </w:r>
    </w:p>
  </w:footnote>
  <w:footnote w:type="continuationSeparator" w:id="0">
    <w:p w:rsidR="008E4E58" w:rsidRDefault="008E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2F8"/>
    <w:multiLevelType w:val="hybridMultilevel"/>
    <w:tmpl w:val="C07A8F24"/>
    <w:lvl w:ilvl="0" w:tplc="430C9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650"/>
    <w:multiLevelType w:val="hybridMultilevel"/>
    <w:tmpl w:val="9E5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5CF0"/>
    <w:multiLevelType w:val="hybridMultilevel"/>
    <w:tmpl w:val="69369AA4"/>
    <w:lvl w:ilvl="0" w:tplc="038ED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E88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F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4D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06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4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63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AB1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20DA6"/>
    <w:multiLevelType w:val="hybridMultilevel"/>
    <w:tmpl w:val="471C4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33420"/>
    <w:multiLevelType w:val="hybridMultilevel"/>
    <w:tmpl w:val="C01C65EA"/>
    <w:lvl w:ilvl="0" w:tplc="F8EAD9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433E7"/>
    <w:multiLevelType w:val="hybridMultilevel"/>
    <w:tmpl w:val="ACE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37127"/>
    <w:multiLevelType w:val="hybridMultilevel"/>
    <w:tmpl w:val="F1E46BA4"/>
    <w:lvl w:ilvl="0" w:tplc="763C3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3A7C"/>
    <w:multiLevelType w:val="hybridMultilevel"/>
    <w:tmpl w:val="D8AA8DF0"/>
    <w:lvl w:ilvl="0" w:tplc="94B69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E66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06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6A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3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C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89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E88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CB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669"/>
    <w:multiLevelType w:val="hybridMultilevel"/>
    <w:tmpl w:val="2378F7D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32F0"/>
    <w:multiLevelType w:val="hybridMultilevel"/>
    <w:tmpl w:val="587C2538"/>
    <w:lvl w:ilvl="0" w:tplc="24BCC88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B0E3F"/>
    <w:multiLevelType w:val="hybridMultilevel"/>
    <w:tmpl w:val="FE0A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410D3"/>
    <w:multiLevelType w:val="hybridMultilevel"/>
    <w:tmpl w:val="77C07F3A"/>
    <w:lvl w:ilvl="0" w:tplc="92EA9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8C004C"/>
    <w:multiLevelType w:val="hybridMultilevel"/>
    <w:tmpl w:val="BFD2760E"/>
    <w:lvl w:ilvl="0" w:tplc="02C6DC2A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D77A6"/>
    <w:multiLevelType w:val="hybridMultilevel"/>
    <w:tmpl w:val="C97E840E"/>
    <w:lvl w:ilvl="0" w:tplc="551C8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14591"/>
    <w:multiLevelType w:val="hybridMultilevel"/>
    <w:tmpl w:val="1662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40"/>
  </w:num>
  <w:num w:numId="4">
    <w:abstractNumId w:val="21"/>
  </w:num>
  <w:num w:numId="5">
    <w:abstractNumId w:val="15"/>
  </w:num>
  <w:num w:numId="6">
    <w:abstractNumId w:val="36"/>
  </w:num>
  <w:num w:numId="7">
    <w:abstractNumId w:val="8"/>
  </w:num>
  <w:num w:numId="8">
    <w:abstractNumId w:val="20"/>
  </w:num>
  <w:num w:numId="9">
    <w:abstractNumId w:val="31"/>
  </w:num>
  <w:num w:numId="10">
    <w:abstractNumId w:val="5"/>
  </w:num>
  <w:num w:numId="11">
    <w:abstractNumId w:val="35"/>
  </w:num>
  <w:num w:numId="12">
    <w:abstractNumId w:val="38"/>
  </w:num>
  <w:num w:numId="13">
    <w:abstractNumId w:val="33"/>
  </w:num>
  <w:num w:numId="14">
    <w:abstractNumId w:val="37"/>
  </w:num>
  <w:num w:numId="15">
    <w:abstractNumId w:val="12"/>
  </w:num>
  <w:num w:numId="16">
    <w:abstractNumId w:val="23"/>
  </w:num>
  <w:num w:numId="17">
    <w:abstractNumId w:val="27"/>
  </w:num>
  <w:num w:numId="18">
    <w:abstractNumId w:val="26"/>
  </w:num>
  <w:num w:numId="19">
    <w:abstractNumId w:val="19"/>
  </w:num>
  <w:num w:numId="20">
    <w:abstractNumId w:val="7"/>
  </w:num>
  <w:num w:numId="21">
    <w:abstractNumId w:val="30"/>
  </w:num>
  <w:num w:numId="22">
    <w:abstractNumId w:val="0"/>
  </w:num>
  <w:num w:numId="23">
    <w:abstractNumId w:val="9"/>
  </w:num>
  <w:num w:numId="24">
    <w:abstractNumId w:val="25"/>
  </w:num>
  <w:num w:numId="25">
    <w:abstractNumId w:val="16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2"/>
  </w:num>
  <w:num w:numId="29">
    <w:abstractNumId w:val="13"/>
  </w:num>
  <w:num w:numId="30">
    <w:abstractNumId w:val="1"/>
  </w:num>
  <w:num w:numId="31">
    <w:abstractNumId w:val="39"/>
  </w:num>
  <w:num w:numId="32">
    <w:abstractNumId w:val="11"/>
  </w:num>
  <w:num w:numId="33">
    <w:abstractNumId w:val="6"/>
  </w:num>
  <w:num w:numId="34">
    <w:abstractNumId w:val="3"/>
  </w:num>
  <w:num w:numId="35">
    <w:abstractNumId w:val="14"/>
  </w:num>
  <w:num w:numId="36">
    <w:abstractNumId w:val="41"/>
  </w:num>
  <w:num w:numId="37">
    <w:abstractNumId w:val="17"/>
  </w:num>
  <w:num w:numId="38">
    <w:abstractNumId w:val="24"/>
  </w:num>
  <w:num w:numId="39">
    <w:abstractNumId w:val="2"/>
  </w:num>
  <w:num w:numId="40">
    <w:abstractNumId w:val="10"/>
  </w:num>
  <w:num w:numId="41">
    <w:abstractNumId w:val="34"/>
  </w:num>
  <w:num w:numId="42">
    <w:abstractNumId w:val="22"/>
  </w:num>
  <w:num w:numId="4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17FD"/>
    <w:rsid w:val="000076B9"/>
    <w:rsid w:val="00011F42"/>
    <w:rsid w:val="00011F65"/>
    <w:rsid w:val="00015351"/>
    <w:rsid w:val="00052E94"/>
    <w:rsid w:val="00056272"/>
    <w:rsid w:val="000604BD"/>
    <w:rsid w:val="00065C3A"/>
    <w:rsid w:val="00073E5E"/>
    <w:rsid w:val="00084C7D"/>
    <w:rsid w:val="000A0CCB"/>
    <w:rsid w:val="000B7200"/>
    <w:rsid w:val="000B7615"/>
    <w:rsid w:val="000D26F3"/>
    <w:rsid w:val="000D409D"/>
    <w:rsid w:val="000F3AEB"/>
    <w:rsid w:val="00110075"/>
    <w:rsid w:val="00110E94"/>
    <w:rsid w:val="00112C2C"/>
    <w:rsid w:val="00117D2E"/>
    <w:rsid w:val="00130BC6"/>
    <w:rsid w:val="001467FA"/>
    <w:rsid w:val="001514B6"/>
    <w:rsid w:val="00154621"/>
    <w:rsid w:val="00156878"/>
    <w:rsid w:val="00161D08"/>
    <w:rsid w:val="00164C6F"/>
    <w:rsid w:val="00171113"/>
    <w:rsid w:val="00175449"/>
    <w:rsid w:val="001806BB"/>
    <w:rsid w:val="00187F04"/>
    <w:rsid w:val="0019639C"/>
    <w:rsid w:val="001A1F12"/>
    <w:rsid w:val="001B1E5D"/>
    <w:rsid w:val="001B55D6"/>
    <w:rsid w:val="001B7E25"/>
    <w:rsid w:val="001C1EFD"/>
    <w:rsid w:val="001C334D"/>
    <w:rsid w:val="001C3659"/>
    <w:rsid w:val="001C6764"/>
    <w:rsid w:val="001D6F43"/>
    <w:rsid w:val="001F5DD8"/>
    <w:rsid w:val="001F6056"/>
    <w:rsid w:val="001F6C25"/>
    <w:rsid w:val="00205498"/>
    <w:rsid w:val="00206160"/>
    <w:rsid w:val="0021638E"/>
    <w:rsid w:val="00230A6F"/>
    <w:rsid w:val="00255696"/>
    <w:rsid w:val="00285CF5"/>
    <w:rsid w:val="002A4742"/>
    <w:rsid w:val="002B09DB"/>
    <w:rsid w:val="002B63E8"/>
    <w:rsid w:val="002C720E"/>
    <w:rsid w:val="002D30EA"/>
    <w:rsid w:val="002D5585"/>
    <w:rsid w:val="002D7DAD"/>
    <w:rsid w:val="002E358E"/>
    <w:rsid w:val="002E4EAD"/>
    <w:rsid w:val="002F563B"/>
    <w:rsid w:val="00315273"/>
    <w:rsid w:val="00316209"/>
    <w:rsid w:val="00320BA1"/>
    <w:rsid w:val="00327903"/>
    <w:rsid w:val="003510F6"/>
    <w:rsid w:val="00354340"/>
    <w:rsid w:val="003707C8"/>
    <w:rsid w:val="00373C1C"/>
    <w:rsid w:val="003747B9"/>
    <w:rsid w:val="00376EF0"/>
    <w:rsid w:val="00383E57"/>
    <w:rsid w:val="00384B8D"/>
    <w:rsid w:val="00386403"/>
    <w:rsid w:val="0039124B"/>
    <w:rsid w:val="003A28EA"/>
    <w:rsid w:val="003B0C9D"/>
    <w:rsid w:val="003C676B"/>
    <w:rsid w:val="003D34A9"/>
    <w:rsid w:val="003F0E5D"/>
    <w:rsid w:val="0040165F"/>
    <w:rsid w:val="00423B18"/>
    <w:rsid w:val="0043546D"/>
    <w:rsid w:val="00457712"/>
    <w:rsid w:val="004629F0"/>
    <w:rsid w:val="0046530A"/>
    <w:rsid w:val="00470524"/>
    <w:rsid w:val="00485A0A"/>
    <w:rsid w:val="00486913"/>
    <w:rsid w:val="004949D6"/>
    <w:rsid w:val="004A2B08"/>
    <w:rsid w:val="004E1377"/>
    <w:rsid w:val="004E490F"/>
    <w:rsid w:val="004F399F"/>
    <w:rsid w:val="00503504"/>
    <w:rsid w:val="005060CA"/>
    <w:rsid w:val="005177F8"/>
    <w:rsid w:val="00523988"/>
    <w:rsid w:val="00526048"/>
    <w:rsid w:val="00526B0B"/>
    <w:rsid w:val="005330E3"/>
    <w:rsid w:val="005543EB"/>
    <w:rsid w:val="00570AA0"/>
    <w:rsid w:val="005736D6"/>
    <w:rsid w:val="00573C16"/>
    <w:rsid w:val="005871AE"/>
    <w:rsid w:val="005A1602"/>
    <w:rsid w:val="005B70B1"/>
    <w:rsid w:val="005C09EF"/>
    <w:rsid w:val="005C664E"/>
    <w:rsid w:val="005D51DB"/>
    <w:rsid w:val="00623CD9"/>
    <w:rsid w:val="00626A6C"/>
    <w:rsid w:val="00630BFF"/>
    <w:rsid w:val="0064057D"/>
    <w:rsid w:val="00643FF1"/>
    <w:rsid w:val="00646847"/>
    <w:rsid w:val="006626C4"/>
    <w:rsid w:val="00662BF0"/>
    <w:rsid w:val="00684D52"/>
    <w:rsid w:val="00687835"/>
    <w:rsid w:val="00690BB6"/>
    <w:rsid w:val="00695D83"/>
    <w:rsid w:val="006975EF"/>
    <w:rsid w:val="006B33DE"/>
    <w:rsid w:val="006B4E9C"/>
    <w:rsid w:val="006B50C5"/>
    <w:rsid w:val="006B69CB"/>
    <w:rsid w:val="006D0FF8"/>
    <w:rsid w:val="007123B2"/>
    <w:rsid w:val="00714167"/>
    <w:rsid w:val="00722786"/>
    <w:rsid w:val="007357F0"/>
    <w:rsid w:val="007358D7"/>
    <w:rsid w:val="007362EC"/>
    <w:rsid w:val="00744BDF"/>
    <w:rsid w:val="0074532E"/>
    <w:rsid w:val="007456B9"/>
    <w:rsid w:val="00750161"/>
    <w:rsid w:val="0076193D"/>
    <w:rsid w:val="0076293B"/>
    <w:rsid w:val="00775B3B"/>
    <w:rsid w:val="007761A8"/>
    <w:rsid w:val="0079208F"/>
    <w:rsid w:val="007C1B4E"/>
    <w:rsid w:val="007D3003"/>
    <w:rsid w:val="007D45D6"/>
    <w:rsid w:val="007E2955"/>
    <w:rsid w:val="007E318C"/>
    <w:rsid w:val="007F03FF"/>
    <w:rsid w:val="007F2BF4"/>
    <w:rsid w:val="0080028F"/>
    <w:rsid w:val="00806E80"/>
    <w:rsid w:val="008271F3"/>
    <w:rsid w:val="00830627"/>
    <w:rsid w:val="00837C8D"/>
    <w:rsid w:val="008728AA"/>
    <w:rsid w:val="0087519E"/>
    <w:rsid w:val="00882ED9"/>
    <w:rsid w:val="00883EBE"/>
    <w:rsid w:val="0089505B"/>
    <w:rsid w:val="00895CDE"/>
    <w:rsid w:val="00897C2D"/>
    <w:rsid w:val="008A0C12"/>
    <w:rsid w:val="008A2F08"/>
    <w:rsid w:val="008A7639"/>
    <w:rsid w:val="008E4E58"/>
    <w:rsid w:val="008F2213"/>
    <w:rsid w:val="00900A46"/>
    <w:rsid w:val="009119A6"/>
    <w:rsid w:val="00917EBA"/>
    <w:rsid w:val="009338B9"/>
    <w:rsid w:val="00964761"/>
    <w:rsid w:val="00975D37"/>
    <w:rsid w:val="009A046B"/>
    <w:rsid w:val="009B3968"/>
    <w:rsid w:val="009B6752"/>
    <w:rsid w:val="009C7F31"/>
    <w:rsid w:val="009E3FA7"/>
    <w:rsid w:val="009F4A73"/>
    <w:rsid w:val="00A0217E"/>
    <w:rsid w:val="00A06C9D"/>
    <w:rsid w:val="00A1021D"/>
    <w:rsid w:val="00A238BA"/>
    <w:rsid w:val="00A264FD"/>
    <w:rsid w:val="00A36E60"/>
    <w:rsid w:val="00A37D6E"/>
    <w:rsid w:val="00A5136B"/>
    <w:rsid w:val="00A563B1"/>
    <w:rsid w:val="00A73AF7"/>
    <w:rsid w:val="00A76F6F"/>
    <w:rsid w:val="00AB1FEF"/>
    <w:rsid w:val="00AC58AB"/>
    <w:rsid w:val="00AD06B5"/>
    <w:rsid w:val="00AD372E"/>
    <w:rsid w:val="00AD5092"/>
    <w:rsid w:val="00AD62E1"/>
    <w:rsid w:val="00AE1FBE"/>
    <w:rsid w:val="00B2098B"/>
    <w:rsid w:val="00B2719B"/>
    <w:rsid w:val="00B51654"/>
    <w:rsid w:val="00B64919"/>
    <w:rsid w:val="00B870E6"/>
    <w:rsid w:val="00B921F5"/>
    <w:rsid w:val="00BB6578"/>
    <w:rsid w:val="00BC1E2E"/>
    <w:rsid w:val="00BC3349"/>
    <w:rsid w:val="00BD069E"/>
    <w:rsid w:val="00BE422F"/>
    <w:rsid w:val="00C01844"/>
    <w:rsid w:val="00C06141"/>
    <w:rsid w:val="00C105C6"/>
    <w:rsid w:val="00C2361B"/>
    <w:rsid w:val="00C31E35"/>
    <w:rsid w:val="00C41E9A"/>
    <w:rsid w:val="00C46A67"/>
    <w:rsid w:val="00C50AD3"/>
    <w:rsid w:val="00C52DF4"/>
    <w:rsid w:val="00C56872"/>
    <w:rsid w:val="00C66D5B"/>
    <w:rsid w:val="00C67E7B"/>
    <w:rsid w:val="00C84A92"/>
    <w:rsid w:val="00C90E96"/>
    <w:rsid w:val="00CC0E5B"/>
    <w:rsid w:val="00CD2835"/>
    <w:rsid w:val="00CF3AC8"/>
    <w:rsid w:val="00CF5C31"/>
    <w:rsid w:val="00D0686A"/>
    <w:rsid w:val="00D10F7A"/>
    <w:rsid w:val="00D11196"/>
    <w:rsid w:val="00D1513D"/>
    <w:rsid w:val="00D318DA"/>
    <w:rsid w:val="00D466B9"/>
    <w:rsid w:val="00D54FE7"/>
    <w:rsid w:val="00D55EAD"/>
    <w:rsid w:val="00D7401A"/>
    <w:rsid w:val="00D77982"/>
    <w:rsid w:val="00D93D33"/>
    <w:rsid w:val="00D97D5D"/>
    <w:rsid w:val="00DA6F62"/>
    <w:rsid w:val="00DB1C5F"/>
    <w:rsid w:val="00DB2F47"/>
    <w:rsid w:val="00DB5E50"/>
    <w:rsid w:val="00DC50E8"/>
    <w:rsid w:val="00DD09CF"/>
    <w:rsid w:val="00DD1D4D"/>
    <w:rsid w:val="00DF5653"/>
    <w:rsid w:val="00E2368B"/>
    <w:rsid w:val="00E37A12"/>
    <w:rsid w:val="00E418DD"/>
    <w:rsid w:val="00E44D76"/>
    <w:rsid w:val="00E536C2"/>
    <w:rsid w:val="00E60597"/>
    <w:rsid w:val="00E66878"/>
    <w:rsid w:val="00E86B09"/>
    <w:rsid w:val="00EB1A48"/>
    <w:rsid w:val="00EB34A5"/>
    <w:rsid w:val="00ED3B94"/>
    <w:rsid w:val="00EE20AD"/>
    <w:rsid w:val="00EE4A7C"/>
    <w:rsid w:val="00EE50FE"/>
    <w:rsid w:val="00EF76AF"/>
    <w:rsid w:val="00EF7DDC"/>
    <w:rsid w:val="00EF7EC8"/>
    <w:rsid w:val="00F026EE"/>
    <w:rsid w:val="00F30C37"/>
    <w:rsid w:val="00F74237"/>
    <w:rsid w:val="00F8113E"/>
    <w:rsid w:val="00FA0381"/>
    <w:rsid w:val="00FB3CC1"/>
    <w:rsid w:val="00FB5B15"/>
    <w:rsid w:val="00FC3657"/>
    <w:rsid w:val="00FC7379"/>
    <w:rsid w:val="00FD26BD"/>
    <w:rsid w:val="00FD67F2"/>
    <w:rsid w:val="00FE605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CD36E9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rsid w:val="002E35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BD069E"/>
    <w:rPr>
      <w:color w:val="954F72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25569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B8A1-260E-4959-A969-931CD545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11046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Novotná Marta</cp:lastModifiedBy>
  <cp:revision>2</cp:revision>
  <cp:lastPrinted>2023-06-21T10:38:00Z</cp:lastPrinted>
  <dcterms:created xsi:type="dcterms:W3CDTF">2023-11-06T08:40:00Z</dcterms:created>
  <dcterms:modified xsi:type="dcterms:W3CDTF">2023-11-06T08:40:00Z</dcterms:modified>
</cp:coreProperties>
</file>